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421C3A">
        <w:rPr>
          <w:rFonts w:ascii="ArialMT" w:hAnsi="ArialMT" w:cs="ArialMT"/>
          <w:b/>
          <w:sz w:val="24"/>
          <w:szCs w:val="24"/>
        </w:rPr>
        <w:t>Szczegółowa kalkulacja cenowa.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Wszystkie ceny należy podać w złotych (PLN).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brutto jest ceną netto powiększoną o podatek VAT.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210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 przedstawionej ofercie musi zaoferować cenę jednoznaczną i ostateczną. Podanie ceny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wariantowej wyrażonej, jako przedział cenowy lub zawierającej warunki i zastrzeżenia, spowoduje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odrzucenie oferty. Cena oferty musi być wyrażona w złotych polskich. Nie będą prowadzone rozliczenia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walutach obcych. Cena oferty nie podlega negocjacjom ani zmianom. Cena musi być podana zgodnie ze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wzorem oferty. Ceny muszą być podane i wyliczone w zaokrągleniu do dwóch miejsc po przecinku (zasada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zaokrąglania – poniżej 0,005 należy </w:t>
      </w:r>
      <w:proofErr w:type="gramStart"/>
      <w:r w:rsidRPr="00421C3A">
        <w:rPr>
          <w:rFonts w:ascii="ArialMT" w:hAnsi="ArialMT" w:cs="ArialMT"/>
          <w:sz w:val="24"/>
          <w:szCs w:val="24"/>
        </w:rPr>
        <w:t>zaokrąglić</w:t>
      </w:r>
      <w:proofErr w:type="gramEnd"/>
      <w:r w:rsidRPr="00421C3A">
        <w:rPr>
          <w:rFonts w:ascii="ArialMT" w:hAnsi="ArialMT" w:cs="ArialMT"/>
          <w:sz w:val="24"/>
          <w:szCs w:val="24"/>
        </w:rPr>
        <w:t xml:space="preserve"> w dół, powyżej i równe należy zaokrąglić w górę). Cena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oferty obejmuje wszelkie koszty związane z wykonaniem przedmiotu zamówienia, w tym także (gdy chodzi 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wynagrodzenie brutto) podatek VAT oraz wykonanie wszystkich </w:t>
      </w:r>
      <w:proofErr w:type="gramStart"/>
      <w:r w:rsidRPr="00421C3A">
        <w:rPr>
          <w:rFonts w:ascii="ArialMT" w:hAnsi="ArialMT" w:cs="ArialMT"/>
          <w:sz w:val="24"/>
          <w:szCs w:val="24"/>
        </w:rPr>
        <w:t xml:space="preserve">obowiązków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ykonawcy</w:t>
      </w:r>
      <w:proofErr w:type="gramEnd"/>
      <w:r w:rsidRPr="00421C3A">
        <w:rPr>
          <w:rFonts w:ascii="ArialMT" w:hAnsi="ArialMT" w:cs="ArialMT"/>
          <w:sz w:val="24"/>
          <w:szCs w:val="24"/>
        </w:rPr>
        <w:t>, niezbędnych do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zrealizowania przedmiotu zamówienia, zgodnie z niniejszą SIWZ, umową, jak i ewentualne ryzyko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wynikające z okoliczności, których nie można było przewidzieć w chwili składania oferty. Ewentualne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rabaty, upusty muszą być wliczone w cenę oferty. Nie uwzględnienie powyższego </w:t>
      </w:r>
      <w:proofErr w:type="gramStart"/>
      <w:r w:rsidRPr="00421C3A">
        <w:rPr>
          <w:rFonts w:ascii="ArialMT" w:hAnsi="ArialMT" w:cs="ArialMT"/>
          <w:sz w:val="24"/>
          <w:szCs w:val="24"/>
        </w:rPr>
        <w:t xml:space="preserve">przez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ykonawcę</w:t>
      </w:r>
      <w:proofErr w:type="gramEnd"/>
      <w:r w:rsidRPr="00421C3A">
        <w:rPr>
          <w:rFonts w:ascii="ArialMT" w:hAnsi="ArialMT" w:cs="ArialMT"/>
          <w:sz w:val="24"/>
          <w:szCs w:val="24"/>
        </w:rPr>
        <w:t xml:space="preserve">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zaoferowanej przez niego cenie nie będzie stanowić podstawy do ponoszenia przez Zamawiającego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jakichkolwiek dodatkowych kosztów w terminie późniejszym.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4. Wszystkie kwoty powinny być wyrażone w złotych brutto – chyba, że zaznaczono inaczej.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8D65C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9548A0" w:rsidRPr="008D65CA" w:rsidRDefault="00250C57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b/>
                <w:sz w:val="24"/>
                <w:szCs w:val="24"/>
              </w:rPr>
              <w:t>b</w:t>
            </w:r>
            <w:r w:rsidR="009548A0" w:rsidRPr="008D65CA">
              <w:rPr>
                <w:rFonts w:ascii="ArialMT" w:hAnsi="ArialMT" w:cs="ArialMT"/>
                <w:b/>
                <w:sz w:val="24"/>
                <w:szCs w:val="24"/>
              </w:rPr>
              <w:t>rutto</w:t>
            </w:r>
            <w:proofErr w:type="gramEnd"/>
          </w:p>
        </w:tc>
        <w:tc>
          <w:tcPr>
            <w:tcW w:w="2725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90EE0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A.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abonament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Pr="00BB21AC">
              <w:rPr>
                <w:rFonts w:ascii="ArialMT" w:hAnsi="ArialMT" w:cs="ArialMT"/>
                <w:sz w:val="24"/>
                <w:szCs w:val="24"/>
              </w:rPr>
              <w:t xml:space="preserve"> telekomunikacyjne - aparat typu 4 </w:t>
            </w:r>
          </w:p>
        </w:tc>
        <w:tc>
          <w:tcPr>
            <w:tcW w:w="2410" w:type="dxa"/>
          </w:tcPr>
          <w:p w:rsidR="002859E8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4305F5">
              <w:rPr>
                <w:rFonts w:ascii="ArialMT" w:hAnsi="ArialMT" w:cs="ArialMT"/>
                <w:sz w:val="24"/>
                <w:szCs w:val="24"/>
              </w:rPr>
              <w:t>8</w:t>
            </w:r>
            <w:r>
              <w:rPr>
                <w:rFonts w:ascii="ArialMT" w:hAnsi="ArialMT" w:cs="ArialMT"/>
                <w:sz w:val="24"/>
                <w:szCs w:val="24"/>
              </w:rPr>
              <w:t>,</w:t>
            </w:r>
            <w:r w:rsidR="004305F5">
              <w:rPr>
                <w:rFonts w:ascii="ArialMT" w:hAnsi="ArialMT" w:cs="ArialMT"/>
                <w:sz w:val="24"/>
                <w:szCs w:val="24"/>
              </w:rPr>
              <w:t>45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B.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Pr="00BB21AC">
              <w:rPr>
                <w:rFonts w:ascii="ArialMT" w:hAnsi="ArialMT" w:cs="ArialMT"/>
                <w:sz w:val="24"/>
                <w:szCs w:val="24"/>
              </w:rPr>
              <w:t xml:space="preserve"> telekomunikacyjne - aparat typu 1,2 i 3</w:t>
            </w:r>
          </w:p>
        </w:tc>
        <w:tc>
          <w:tcPr>
            <w:tcW w:w="2410" w:type="dxa"/>
          </w:tcPr>
          <w:p w:rsidR="002859E8" w:rsidRDefault="004305F5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36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C.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abonament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Pr="00BB21AC">
              <w:rPr>
                <w:rFonts w:ascii="ArialMT" w:hAnsi="ArialMT" w:cs="ArialMT"/>
                <w:sz w:val="24"/>
                <w:szCs w:val="24"/>
              </w:rPr>
              <w:t xml:space="preserve"> usługi w grupie Zamawiającego</w:t>
            </w:r>
          </w:p>
        </w:tc>
        <w:tc>
          <w:tcPr>
            <w:tcW w:w="2410" w:type="dxa"/>
          </w:tcPr>
          <w:p w:rsidR="002859E8" w:rsidRDefault="002859E8" w:rsidP="002906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15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</w:t>
            </w:r>
            <w:r>
              <w:rPr>
                <w:rFonts w:ascii="ArialMT" w:hAnsi="ArialMT" w:cs="ArialMT"/>
                <w:sz w:val="24"/>
                <w:szCs w:val="24"/>
              </w:rPr>
              <w:t>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D.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połączenia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głosowe do własnej sieci komórkowej Wykonawcy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E.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połączenia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głosowe do sieci innych operatorów komórkowych</w:t>
            </w:r>
          </w:p>
        </w:tc>
        <w:tc>
          <w:tcPr>
            <w:tcW w:w="2410" w:type="dxa"/>
          </w:tcPr>
          <w:p w:rsidR="002859E8" w:rsidRPr="00421C3A" w:rsidRDefault="008F6080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F.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połączenia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głosowe do sieci stacjonarnych</w:t>
            </w:r>
          </w:p>
        </w:tc>
        <w:tc>
          <w:tcPr>
            <w:tcW w:w="2410" w:type="dxa"/>
          </w:tcPr>
          <w:p w:rsidR="002859E8" w:rsidRDefault="008F608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G.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Pr="00BB21AC">
              <w:rPr>
                <w:rFonts w:ascii="ArialMT" w:hAnsi="ArialMT" w:cs="ArialMT"/>
                <w:sz w:val="24"/>
                <w:szCs w:val="24"/>
              </w:rPr>
              <w:t xml:space="preserve"> multimedialnej (MMS) do krajowych operatorów komórkowych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>
              <w:rPr>
                <w:rFonts w:ascii="ArialMT" w:hAnsi="ArialMT" w:cs="ArialMT"/>
                <w:sz w:val="24"/>
                <w:szCs w:val="24"/>
              </w:rPr>
              <w:t>30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2859E8" w:rsidP="00BB02EB">
            <w:pPr>
              <w:rPr>
                <w:rFonts w:ascii="ArialMT" w:hAnsi="ArialMT" w:cs="ArialMT"/>
                <w:sz w:val="24"/>
                <w:szCs w:val="24"/>
              </w:rPr>
            </w:pPr>
            <w:r w:rsidRPr="00BB21AC">
              <w:rPr>
                <w:rFonts w:ascii="ArialMT" w:hAnsi="ArialMT" w:cs="ArialMT"/>
                <w:sz w:val="24"/>
                <w:szCs w:val="24"/>
              </w:rPr>
              <w:t xml:space="preserve">H. </w:t>
            </w:r>
            <w:proofErr w:type="gramStart"/>
            <w:r w:rsidRPr="00BB21AC">
              <w:rPr>
                <w:rFonts w:ascii="ArialMT" w:hAnsi="ArialMT" w:cs="ArialMT"/>
                <w:sz w:val="24"/>
                <w:szCs w:val="24"/>
              </w:rPr>
              <w:t>wysyłanie</w:t>
            </w:r>
            <w:proofErr w:type="gramEnd"/>
            <w:r w:rsidRPr="00BB21A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Pr="00BB21AC">
              <w:rPr>
                <w:rFonts w:ascii="ArialMT" w:hAnsi="ArialMT" w:cs="ArialMT"/>
                <w:sz w:val="24"/>
                <w:szCs w:val="24"/>
              </w:rPr>
              <w:t xml:space="preserve"> tekstowej (SMS) do krajowych operatorów komórkowych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1561"/>
        <w:gridCol w:w="1561"/>
        <w:gridCol w:w="1561"/>
        <w:gridCol w:w="1562"/>
      </w:tblGrid>
      <w:tr w:rsidR="003B29E3" w:rsidTr="00461B42">
        <w:tc>
          <w:tcPr>
            <w:tcW w:w="3043" w:type="dxa"/>
            <w:vMerge w:val="restart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Rodzaj połączeń</w:t>
            </w:r>
          </w:p>
        </w:tc>
        <w:tc>
          <w:tcPr>
            <w:tcW w:w="3122" w:type="dxa"/>
            <w:gridSpan w:val="2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A</w:t>
            </w:r>
          </w:p>
        </w:tc>
        <w:tc>
          <w:tcPr>
            <w:tcW w:w="3123" w:type="dxa"/>
            <w:gridSpan w:val="2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B</w:t>
            </w:r>
          </w:p>
        </w:tc>
      </w:tr>
      <w:tr w:rsidR="003B29E3" w:rsidTr="003B29E3">
        <w:tc>
          <w:tcPr>
            <w:tcW w:w="3043" w:type="dxa"/>
            <w:vMerge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61" w:type="dxa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  <w:tc>
          <w:tcPr>
            <w:tcW w:w="1561" w:type="dxa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62" w:type="dxa"/>
          </w:tcPr>
          <w:p w:rsidR="003B29E3" w:rsidRPr="008D65CA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561" w:type="dxa"/>
          </w:tcPr>
          <w:p w:rsidR="003B29E3" w:rsidRDefault="00B90EE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min.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B90EE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</w:t>
            </w:r>
            <w:r w:rsidR="003B29E3">
              <w:rPr>
                <w:rFonts w:ascii="ArialMT" w:hAnsi="ArialMT" w:cs="ArialMT"/>
                <w:sz w:val="24"/>
                <w:szCs w:val="24"/>
              </w:rPr>
              <w:t>0 min.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561" w:type="dxa"/>
          </w:tcPr>
          <w:p w:rsidR="003B29E3" w:rsidRDefault="00B90EE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3B29E3">
              <w:rPr>
                <w:rFonts w:ascii="ArialMT" w:hAnsi="ArialMT" w:cs="ArialMT"/>
                <w:sz w:val="24"/>
                <w:szCs w:val="24"/>
              </w:rPr>
              <w:t xml:space="preserve"> GB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B90EE0" w:rsidP="00B90EE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 GB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421C3A" w:rsidRPr="00421C3A">
        <w:rPr>
          <w:rFonts w:ascii="ArialMT" w:hAnsi="ArialMT" w:cs="ArialMT"/>
          <w:sz w:val="24"/>
          <w:szCs w:val="24"/>
        </w:rPr>
        <w:t>.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21C3A" w:rsidRPr="00421C3A">
        <w:rPr>
          <w:rFonts w:ascii="ArialMT" w:hAnsi="ArialMT" w:cs="ArialMT"/>
          <w:sz w:val="24"/>
          <w:szCs w:val="24"/>
        </w:rPr>
        <w:t>.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421C3A" w:rsidRPr="00421C3A">
        <w:rPr>
          <w:rFonts w:ascii="ArialMT" w:hAnsi="ArialMT" w:cs="ArialMT"/>
          <w:sz w:val="24"/>
          <w:szCs w:val="24"/>
        </w:rPr>
        <w:t xml:space="preserve">.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Liczba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sztuk</w:t>
            </w:r>
            <w:proofErr w:type="gramEnd"/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D65CA">
              <w:rPr>
                <w:rFonts w:ascii="ArialMT" w:hAnsi="ArialMT" w:cs="ArialMT"/>
                <w:b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nie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więcej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niż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netto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Stawka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spellStart"/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podatk</w:t>
            </w:r>
            <w:proofErr w:type="spellEnd"/>
            <w:proofErr w:type="gramEnd"/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VAT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Wartość brutto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za</w:t>
            </w:r>
            <w:proofErr w:type="gramEnd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 xml:space="preserve"> wszystkie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urządzenia</w:t>
            </w:r>
            <w:proofErr w:type="gramEnd"/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 w:rsidR="00B90EE0">
              <w:rPr>
                <w:rFonts w:ascii="ArialMT" w:hAnsi="ArialMT" w:cs="ArialMT"/>
                <w:sz w:val="20"/>
                <w:szCs w:val="24"/>
              </w:rPr>
              <w:t>e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</w:t>
            </w:r>
            <w:r w:rsidR="00B90EE0">
              <w:rPr>
                <w:rFonts w:ascii="ArialMT" w:hAnsi="ArialMT" w:cs="ArialMT"/>
                <w:sz w:val="20"/>
                <w:szCs w:val="24"/>
              </w:rPr>
              <w:t>y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/model</w:t>
            </w:r>
            <w:r w:rsidR="00B90EE0">
              <w:rPr>
                <w:rFonts w:ascii="ArialMT" w:hAnsi="ArialMT" w:cs="ArialMT"/>
                <w:sz w:val="20"/>
                <w:szCs w:val="24"/>
              </w:rPr>
              <w:t>e – minimum 2 różne 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B90EE0">
              <w:rPr>
                <w:rFonts w:ascii="ArialMT" w:hAnsi="ArialMT" w:cs="ArialMT"/>
                <w:sz w:val="20"/>
                <w:szCs w:val="24"/>
              </w:rPr>
              <w:t>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2</w:t>
            </w:r>
          </w:p>
          <w:p w:rsidR="00343DD1" w:rsidRPr="00AA75D7" w:rsidRDefault="00343DD1" w:rsidP="008F6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8F6080" w:rsidRDefault="00343DD1" w:rsidP="008F60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250C57">
              <w:rPr>
                <w:rFonts w:ascii="ArialMT" w:hAnsi="ArialMT" w:cs="ArialMT"/>
                <w:sz w:val="20"/>
                <w:szCs w:val="24"/>
              </w:rPr>
              <w:t>3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283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045327" w:rsidRPr="005B09DD" w:rsidRDefault="00045327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851" w:type="dxa"/>
          </w:tcPr>
          <w:p w:rsidR="00343DD1" w:rsidRPr="00AA75D7" w:rsidRDefault="006E2F4F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11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B90EE0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 w:rsidR="00343DD1">
              <w:rPr>
                <w:rFonts w:ascii="ArialMT" w:hAnsi="ArialMT" w:cs="ArialMT"/>
                <w:sz w:val="20"/>
                <w:szCs w:val="24"/>
              </w:rPr>
              <w:t>0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4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6E2F4F" w:rsidP="008F6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B90EE0" w:rsidP="00B90EE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61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>
              <w:rPr>
                <w:rFonts w:ascii="ArialMT" w:hAnsi="ArialMT" w:cs="ArialMT"/>
                <w:sz w:val="20"/>
                <w:szCs w:val="24"/>
              </w:rPr>
              <w:t>50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proofErr w:type="gramStart"/>
            <w:r w:rsidRPr="002239D4">
              <w:rPr>
                <w:rFonts w:ascii="ArialMT" w:hAnsi="ArialMT" w:cs="ArialMT"/>
                <w:sz w:val="20"/>
                <w:szCs w:val="24"/>
              </w:rPr>
              <w:t>urządzenie</w:t>
            </w:r>
            <w:proofErr w:type="gramEnd"/>
            <w:r w:rsidRPr="002239D4">
              <w:rPr>
                <w:rFonts w:ascii="ArialMT" w:hAnsi="ArialMT" w:cs="ArialMT"/>
                <w:sz w:val="20"/>
                <w:szCs w:val="24"/>
              </w:rPr>
              <w:t xml:space="preserve">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1,23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123,00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więcej niż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  <w:proofErr w:type="gramEnd"/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za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karty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B90EE0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Min. 30</w:t>
            </w:r>
            <w:r w:rsidR="00461B4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B90EE0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440CE7" w:rsidRDefault="000B6F3E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ograniczenie prędkości </w:t>
      </w:r>
      <w:proofErr w:type="gramStart"/>
      <w:r w:rsidRPr="00421C3A">
        <w:rPr>
          <w:rFonts w:ascii="ArialMT" w:hAnsi="ArialMT" w:cs="ArialMT"/>
          <w:sz w:val="24"/>
          <w:szCs w:val="24"/>
        </w:rPr>
        <w:t>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</w:t>
      </w:r>
      <w:proofErr w:type="gramEnd"/>
      <w:r w:rsidR="00BB02EB" w:rsidRPr="00421C3A">
        <w:rPr>
          <w:rFonts w:ascii="ArialMT" w:hAnsi="ArialMT" w:cs="ArialMT"/>
          <w:sz w:val="24"/>
          <w:szCs w:val="24"/>
        </w:rPr>
        <w:t xml:space="preserve">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Każdy modem spełniający wymagania określone w specyfikacji technicznej i bez względu na łączną ilość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zakupionych modemów Wykonawca musi zaoferować Zamawiającemu za kwotę 1,23 zł brutto/szt.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włączy blokadę (na wszystkich kartach SIM) wszelkich usług niezwiązanych z przedmiotem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więcej niż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  <w:proofErr w:type="gramEnd"/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za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karty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proofErr w:type="gram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</w:t>
            </w:r>
            <w:proofErr w:type="gramEnd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B90EE0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 GB</w:t>
            </w:r>
          </w:p>
        </w:tc>
        <w:tc>
          <w:tcPr>
            <w:tcW w:w="1850" w:type="dxa"/>
          </w:tcPr>
          <w:p w:rsidR="00440CE7" w:rsidRDefault="00B90EE0" w:rsidP="00321C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75</w:t>
            </w:r>
            <w:r w:rsidR="00461B42">
              <w:rPr>
                <w:rFonts w:ascii="ArialMT" w:hAnsi="ArialMT" w:cs="ArialMT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440CE7" w:rsidRDefault="00B90EE0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B90EE0" w:rsidTr="00321C04">
        <w:tc>
          <w:tcPr>
            <w:tcW w:w="2827" w:type="dxa"/>
          </w:tcPr>
          <w:p w:rsidR="00B90EE0" w:rsidRDefault="00B90EE0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 GB – transmisja od 09/2019 r.</w:t>
            </w:r>
          </w:p>
        </w:tc>
        <w:tc>
          <w:tcPr>
            <w:tcW w:w="1850" w:type="dxa"/>
          </w:tcPr>
          <w:p w:rsidR="00B90EE0" w:rsidRDefault="00B90EE0" w:rsidP="00321C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B90EE0" w:rsidRDefault="00B90EE0" w:rsidP="00461B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12,30</w:t>
            </w:r>
          </w:p>
        </w:tc>
        <w:tc>
          <w:tcPr>
            <w:tcW w:w="1537" w:type="dxa"/>
          </w:tcPr>
          <w:p w:rsidR="00B90EE0" w:rsidRDefault="00B90EE0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0EE0" w:rsidRDefault="00B90EE0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B6F3E" w:rsidRDefault="000B6F3E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</w:p>
    <w:p w:rsidR="004E54B2" w:rsidRPr="00A12161" w:rsidRDefault="005C351F" w:rsidP="00EE195D">
      <w:pPr>
        <w:autoSpaceDE w:val="0"/>
        <w:autoSpaceDN w:val="0"/>
        <w:adjustRightInd w:val="0"/>
        <w:spacing w:after="0" w:line="240" w:lineRule="auto"/>
      </w:pPr>
      <w:r>
        <w:t>5. Szczegółowa kalkulacja</w:t>
      </w: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11"/>
        <w:gridCol w:w="1275"/>
        <w:gridCol w:w="960"/>
        <w:gridCol w:w="1701"/>
        <w:gridCol w:w="2410"/>
        <w:gridCol w:w="3119"/>
      </w:tblGrid>
      <w:tr w:rsidR="005D2D61" w:rsidRPr="004E54B2" w:rsidTr="00C66364">
        <w:trPr>
          <w:trHeight w:val="15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3"/>
            <w:bookmarkStart w:id="1" w:name="OLE_LINK1" w:colFirst="1" w:colLast="9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proofErr w:type="gramStart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           (zł</w:t>
            </w:r>
            <w:proofErr w:type="gramEnd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/jedn.)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gramStart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           (kol</w:t>
            </w:r>
            <w:proofErr w:type="gramEnd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4 x kol. 5)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gramStart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        (kol</w:t>
            </w:r>
            <w:proofErr w:type="gramEnd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6 +  VAT)     </w:t>
            </w:r>
          </w:p>
        </w:tc>
      </w:tr>
      <w:tr w:rsidR="005D2D61" w:rsidRPr="004E54B2" w:rsidTr="00C6636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54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D2D61" w:rsidRPr="004E54B2" w:rsidTr="00C66364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proofErr w:type="gramStart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telefony</w:t>
            </w:r>
            <w:proofErr w:type="gramEnd"/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komórkowe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9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telekomunikacyjne - aparat typu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6E2F4F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8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telekomunikacyjne - aparat typu 1,2 i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DC034D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8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usługi w grupie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głosowe do własnej sieci komórkowej Wykonawcy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głosowe do sieci innych operatorów komórkowych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5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głosowe do sieci stacjonarnych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9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wiadomości multimedialnej (MMS) do krajowych operatorów komórkowych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98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wiadomości tekstowej (SMS) do krajowych operatorów komórkowych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model standardowy - typ 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model standardowy - typ 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model standardowy - typ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994DDA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model standardowy - typ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994DDA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pakietowej transmisji danych (modem)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urządzenia (jeżeli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wymagane tj. np. router)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jednorazowa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6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D3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telekomunikacyjne</w:t>
            </w:r>
            <w:r w:rsidR="00BB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(pakietowa transmisja danych modem)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2D61" w:rsidRPr="004E54B2" w:rsidTr="00C66364">
        <w:trPr>
          <w:trHeight w:val="80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D3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telekomunikacyjne z przepustowością min 1 </w:t>
            </w:r>
            <w:proofErr w:type="spell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(prywatny APN)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D61" w:rsidRPr="004E54B2" w:rsidTr="00C66364">
        <w:trPr>
          <w:trHeight w:val="11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D37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miesięczny za każdy numer zapewniający świadczenie telekomunikacyjne z przepustowością min 3 </w:t>
            </w:r>
            <w:proofErr w:type="spell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="00BB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(prywatny APN</w:t>
            </w:r>
            <w:bookmarkStart w:id="2" w:name="_GoBack"/>
            <w:bookmarkEnd w:id="2"/>
            <w:r w:rsidR="00BB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61" w:rsidRPr="004E54B2" w:rsidRDefault="005D2D61" w:rsidP="004E5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364" w:rsidRPr="004E54B2" w:rsidTr="00C66364">
        <w:trPr>
          <w:trHeight w:val="315"/>
        </w:trPr>
        <w:tc>
          <w:tcPr>
            <w:tcW w:w="1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364" w:rsidRPr="004E54B2" w:rsidRDefault="00C66364" w:rsidP="004E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6364" w:rsidRPr="004E54B2" w:rsidRDefault="00C66364" w:rsidP="004E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:rsidR="00C46E91" w:rsidRDefault="00C46E91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B4" w:rsidRDefault="00497BB4" w:rsidP="005B09DD">
      <w:pPr>
        <w:spacing w:after="0" w:line="240" w:lineRule="auto"/>
      </w:pPr>
      <w:r>
        <w:separator/>
      </w:r>
    </w:p>
  </w:endnote>
  <w:endnote w:type="continuationSeparator" w:id="0">
    <w:p w:rsidR="00497BB4" w:rsidRDefault="00497BB4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B4" w:rsidRDefault="00497BB4" w:rsidP="005B09DD">
      <w:pPr>
        <w:spacing w:after="0" w:line="240" w:lineRule="auto"/>
      </w:pPr>
      <w:r>
        <w:separator/>
      </w:r>
    </w:p>
  </w:footnote>
  <w:footnote w:type="continuationSeparator" w:id="0">
    <w:p w:rsidR="00497BB4" w:rsidRDefault="00497BB4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5" w:rsidRPr="00A82F15" w:rsidRDefault="00A82F15" w:rsidP="00A82F15">
    <w:pPr>
      <w:pStyle w:val="Nagwek"/>
      <w:jc w:val="right"/>
      <w:rPr>
        <w:rFonts w:ascii="Arial" w:hAnsi="Arial" w:cs="Arial"/>
        <w:b/>
        <w:sz w:val="16"/>
        <w:szCs w:val="16"/>
      </w:rPr>
    </w:pPr>
    <w:r w:rsidRPr="00A82F15">
      <w:rPr>
        <w:rFonts w:ascii="Arial" w:hAnsi="Arial" w:cs="Arial"/>
        <w:b/>
        <w:sz w:val="16"/>
        <w:szCs w:val="16"/>
      </w:rPr>
      <w:t>Nr sprawy DZ.ZSM.381-1/18</w:t>
    </w:r>
  </w:p>
  <w:p w:rsidR="00A82F15" w:rsidRDefault="00A82F15" w:rsidP="00A82F15">
    <w:pPr>
      <w:pStyle w:val="Nagwek"/>
      <w:jc w:val="right"/>
      <w:rPr>
        <w:rFonts w:ascii="Arial" w:hAnsi="Arial" w:cs="Arial"/>
        <w:b/>
        <w:sz w:val="16"/>
        <w:szCs w:val="16"/>
      </w:rPr>
    </w:pPr>
    <w:r w:rsidRPr="00A82F15">
      <w:rPr>
        <w:rFonts w:ascii="Arial" w:hAnsi="Arial" w:cs="Arial"/>
        <w:b/>
        <w:sz w:val="16"/>
        <w:szCs w:val="16"/>
      </w:rPr>
      <w:t xml:space="preserve">Załącznik nr 2 do umowy- </w:t>
    </w:r>
    <w:r>
      <w:rPr>
        <w:rFonts w:ascii="Arial" w:hAnsi="Arial" w:cs="Arial"/>
        <w:b/>
        <w:sz w:val="16"/>
        <w:szCs w:val="16"/>
      </w:rPr>
      <w:t>S</w:t>
    </w:r>
    <w:r w:rsidRPr="00A82F15">
      <w:rPr>
        <w:rFonts w:ascii="Arial" w:hAnsi="Arial" w:cs="Arial"/>
        <w:b/>
        <w:sz w:val="16"/>
        <w:szCs w:val="16"/>
      </w:rPr>
      <w:t>zczegółowa kalkulacja cenowa</w:t>
    </w:r>
  </w:p>
  <w:p w:rsidR="00807B5B" w:rsidRPr="00807B5B" w:rsidRDefault="00807B5B" w:rsidP="00A82F15">
    <w:pPr>
      <w:pStyle w:val="Nagwek"/>
      <w:jc w:val="right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Uwaga! </w:t>
    </w:r>
    <w:r w:rsidR="006E2F4F">
      <w:rPr>
        <w:rFonts w:ascii="Arial" w:hAnsi="Arial" w:cs="Arial"/>
        <w:b/>
        <w:color w:val="FF0000"/>
        <w:sz w:val="16"/>
        <w:szCs w:val="16"/>
      </w:rPr>
      <w:t xml:space="preserve">Uzupełniony </w:t>
    </w:r>
    <w:proofErr w:type="gramStart"/>
    <w:r w:rsidR="006E2F4F">
      <w:rPr>
        <w:rFonts w:ascii="Arial" w:hAnsi="Arial" w:cs="Arial"/>
        <w:b/>
        <w:color w:val="FF0000"/>
        <w:sz w:val="16"/>
        <w:szCs w:val="16"/>
      </w:rPr>
      <w:t>n</w:t>
    </w:r>
    <w:r>
      <w:rPr>
        <w:rFonts w:ascii="Arial" w:hAnsi="Arial" w:cs="Arial"/>
        <w:b/>
        <w:color w:val="FF0000"/>
        <w:sz w:val="16"/>
        <w:szCs w:val="16"/>
      </w:rPr>
      <w:t>ależy</w:t>
    </w:r>
    <w:r w:rsidR="008905A2">
      <w:rPr>
        <w:rFonts w:ascii="Arial" w:hAnsi="Arial" w:cs="Arial"/>
        <w:b/>
        <w:color w:val="FF0000"/>
        <w:sz w:val="16"/>
        <w:szCs w:val="16"/>
      </w:rPr>
      <w:t xml:space="preserve">  złożyć</w:t>
    </w:r>
    <w:proofErr w:type="gramEnd"/>
    <w:r w:rsidR="008905A2">
      <w:rPr>
        <w:rFonts w:ascii="Arial" w:hAnsi="Arial" w:cs="Arial"/>
        <w:b/>
        <w:color w:val="FF0000"/>
        <w:sz w:val="16"/>
        <w:szCs w:val="16"/>
      </w:rPr>
      <w:t xml:space="preserve"> wraz z ofertą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3655"/>
    <w:multiLevelType w:val="hybridMultilevel"/>
    <w:tmpl w:val="7130A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45327"/>
    <w:rsid w:val="000A1760"/>
    <w:rsid w:val="000B6F3E"/>
    <w:rsid w:val="000C2928"/>
    <w:rsid w:val="000E1FBA"/>
    <w:rsid w:val="000E2C98"/>
    <w:rsid w:val="00123FAA"/>
    <w:rsid w:val="00184418"/>
    <w:rsid w:val="00195470"/>
    <w:rsid w:val="001B6F06"/>
    <w:rsid w:val="001C571F"/>
    <w:rsid w:val="001F0CB8"/>
    <w:rsid w:val="002025DD"/>
    <w:rsid w:val="00205DE6"/>
    <w:rsid w:val="00210A6C"/>
    <w:rsid w:val="002239D4"/>
    <w:rsid w:val="00250C57"/>
    <w:rsid w:val="00265AA9"/>
    <w:rsid w:val="002765BE"/>
    <w:rsid w:val="002859E8"/>
    <w:rsid w:val="0029063A"/>
    <w:rsid w:val="00296236"/>
    <w:rsid w:val="002E37C0"/>
    <w:rsid w:val="00321C04"/>
    <w:rsid w:val="00327D0F"/>
    <w:rsid w:val="00336C2B"/>
    <w:rsid w:val="0034321A"/>
    <w:rsid w:val="00343DD1"/>
    <w:rsid w:val="0035382B"/>
    <w:rsid w:val="00397807"/>
    <w:rsid w:val="003B29E3"/>
    <w:rsid w:val="00400C1E"/>
    <w:rsid w:val="00402069"/>
    <w:rsid w:val="004023AA"/>
    <w:rsid w:val="00421C3A"/>
    <w:rsid w:val="00425257"/>
    <w:rsid w:val="004305F5"/>
    <w:rsid w:val="00432137"/>
    <w:rsid w:val="00440CE7"/>
    <w:rsid w:val="004443BC"/>
    <w:rsid w:val="00456C25"/>
    <w:rsid w:val="00461B42"/>
    <w:rsid w:val="00497BB4"/>
    <w:rsid w:val="004E3D9F"/>
    <w:rsid w:val="004E54B2"/>
    <w:rsid w:val="005342B9"/>
    <w:rsid w:val="00591058"/>
    <w:rsid w:val="005949D4"/>
    <w:rsid w:val="005B09DD"/>
    <w:rsid w:val="005C351F"/>
    <w:rsid w:val="005D2D61"/>
    <w:rsid w:val="00642435"/>
    <w:rsid w:val="006D18BA"/>
    <w:rsid w:val="006E2F4F"/>
    <w:rsid w:val="006E5A35"/>
    <w:rsid w:val="00701DE6"/>
    <w:rsid w:val="00784AA8"/>
    <w:rsid w:val="0080202A"/>
    <w:rsid w:val="00807B5B"/>
    <w:rsid w:val="008674A5"/>
    <w:rsid w:val="008905A2"/>
    <w:rsid w:val="008917D0"/>
    <w:rsid w:val="00893E14"/>
    <w:rsid w:val="008D65CA"/>
    <w:rsid w:val="008F6080"/>
    <w:rsid w:val="009347AE"/>
    <w:rsid w:val="009538A8"/>
    <w:rsid w:val="009548A0"/>
    <w:rsid w:val="00994DDA"/>
    <w:rsid w:val="009C0F48"/>
    <w:rsid w:val="00A12161"/>
    <w:rsid w:val="00A17962"/>
    <w:rsid w:val="00A714C0"/>
    <w:rsid w:val="00A82F15"/>
    <w:rsid w:val="00A842A1"/>
    <w:rsid w:val="00AA75D7"/>
    <w:rsid w:val="00AA782F"/>
    <w:rsid w:val="00B100B1"/>
    <w:rsid w:val="00B40339"/>
    <w:rsid w:val="00B438A4"/>
    <w:rsid w:val="00B90EE0"/>
    <w:rsid w:val="00B95885"/>
    <w:rsid w:val="00BB02EB"/>
    <w:rsid w:val="00BB21AC"/>
    <w:rsid w:val="00BB5226"/>
    <w:rsid w:val="00BE0EA2"/>
    <w:rsid w:val="00BE2290"/>
    <w:rsid w:val="00C20F01"/>
    <w:rsid w:val="00C223F1"/>
    <w:rsid w:val="00C46E91"/>
    <w:rsid w:val="00C66364"/>
    <w:rsid w:val="00C6717E"/>
    <w:rsid w:val="00C93D71"/>
    <w:rsid w:val="00C9738F"/>
    <w:rsid w:val="00D36861"/>
    <w:rsid w:val="00D37FDB"/>
    <w:rsid w:val="00D456C8"/>
    <w:rsid w:val="00D90DCE"/>
    <w:rsid w:val="00DC034D"/>
    <w:rsid w:val="00DD771F"/>
    <w:rsid w:val="00DF3AA1"/>
    <w:rsid w:val="00DF6C68"/>
    <w:rsid w:val="00E0575B"/>
    <w:rsid w:val="00E219B9"/>
    <w:rsid w:val="00E30D22"/>
    <w:rsid w:val="00E344DA"/>
    <w:rsid w:val="00E435E9"/>
    <w:rsid w:val="00E5193D"/>
    <w:rsid w:val="00E670A8"/>
    <w:rsid w:val="00EE195D"/>
    <w:rsid w:val="00F6152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15"/>
  </w:style>
  <w:style w:type="paragraph" w:styleId="Stopka">
    <w:name w:val="footer"/>
    <w:basedOn w:val="Normalny"/>
    <w:link w:val="StopkaZnak"/>
    <w:uiPriority w:val="99"/>
    <w:unhideWhenUsed/>
    <w:rsid w:val="00A8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15"/>
  </w:style>
  <w:style w:type="paragraph" w:styleId="Stopka">
    <w:name w:val="footer"/>
    <w:basedOn w:val="Normalny"/>
    <w:link w:val="StopkaZnak"/>
    <w:uiPriority w:val="99"/>
    <w:unhideWhenUsed/>
    <w:rsid w:val="00A8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26</cp:revision>
  <dcterms:created xsi:type="dcterms:W3CDTF">2014-06-11T07:07:00Z</dcterms:created>
  <dcterms:modified xsi:type="dcterms:W3CDTF">2018-06-25T10:56:00Z</dcterms:modified>
</cp:coreProperties>
</file>