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Pr="00A77ABE" w:rsidRDefault="00305F30" w:rsidP="00305F30">
      <w:pPr>
        <w:jc w:val="right"/>
      </w:pPr>
      <w:bookmarkStart w:id="0" w:name="_GoBack"/>
      <w:bookmarkEnd w:id="0"/>
    </w:p>
    <w:p w:rsidR="00305F30" w:rsidRPr="00A77ABE" w:rsidRDefault="00305F30" w:rsidP="00305F30">
      <w:pPr>
        <w:rPr>
          <w:rFonts w:cs="Arial"/>
        </w:rPr>
      </w:pPr>
      <w:r w:rsidRPr="00A77ABE">
        <w:rPr>
          <w:rFonts w:cs="Arial"/>
        </w:rPr>
        <w:t>Podstawowe informacje o of</w:t>
      </w:r>
      <w:r w:rsidR="00615CF3" w:rsidRPr="00A77ABE">
        <w:rPr>
          <w:rFonts w:cs="Arial"/>
        </w:rPr>
        <w:t>erowanym przedmiocie zamówienia,</w:t>
      </w:r>
      <w:r w:rsidRPr="00A77ABE">
        <w:rPr>
          <w:rFonts w:cs="Arial"/>
        </w:rPr>
        <w:t xml:space="preserve"> wymagane przez Zamawiającego.</w:t>
      </w:r>
      <w:r w:rsidR="0061203F" w:rsidRPr="00A77ABE">
        <w:rPr>
          <w:rFonts w:cs="Arial"/>
        </w:rPr>
        <w:t xml:space="preserve"> Dotyczy Autobusu EV o którym mowa w załączniku nr 1 do siwz</w:t>
      </w:r>
    </w:p>
    <w:p w:rsidR="00900417" w:rsidRPr="00A77ABE" w:rsidRDefault="00900417" w:rsidP="00305F30">
      <w:pPr>
        <w:rPr>
          <w:rFonts w:cs="Arial"/>
        </w:rPr>
      </w:pP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Zamawiający dokonując oceny oferty podda ocenie zgodność informacji podanych w kolumnie „Oferowane przez Wykonawcę (kolumnę wypełnia wykonawca)” z wymaganiami zamawiającego podanymi w kolumnie „Wymagania Zamawiającego”.</w:t>
      </w:r>
    </w:p>
    <w:p w:rsidR="007A256C" w:rsidRPr="00A77ABE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A77ABE">
        <w:rPr>
          <w:rFonts w:cs="Arial"/>
        </w:rPr>
        <w:t xml:space="preserve">Instrukcja wypełnienia kolumny „Oferowane przez Wykonawcę”: </w:t>
      </w:r>
    </w:p>
    <w:p w:rsidR="00FB0799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  <w:r w:rsidR="00E9306D">
        <w:rPr>
          <w:rFonts w:ascii="Arial" w:hAnsi="Arial" w:cs="Arial"/>
        </w:rPr>
        <w:t xml:space="preserve"> </w:t>
      </w:r>
    </w:p>
    <w:p w:rsidR="007A256C" w:rsidRPr="00704F5D" w:rsidRDefault="00E9306D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704F5D">
        <w:rPr>
          <w:rFonts w:ascii="Arial" w:hAnsi="Arial" w:cs="Arial"/>
        </w:rPr>
        <w:t xml:space="preserve">W miejscach, w których Zamawiający </w:t>
      </w:r>
      <w:r w:rsidR="00FB0799" w:rsidRPr="00704F5D">
        <w:rPr>
          <w:rFonts w:ascii="Arial" w:hAnsi="Arial" w:cs="Arial"/>
        </w:rPr>
        <w:t xml:space="preserve">dopuszcza rozwiązania alternatywne i </w:t>
      </w:r>
      <w:r w:rsidRPr="00704F5D">
        <w:rPr>
          <w:rFonts w:ascii="Arial" w:hAnsi="Arial" w:cs="Arial"/>
        </w:rPr>
        <w:t xml:space="preserve">wymaga podania danych zaoferowanego rozwiązania, Wykonawca zobowiązany jest do podania </w:t>
      </w:r>
      <w:r w:rsidR="00FB0799" w:rsidRPr="00704F5D">
        <w:rPr>
          <w:rFonts w:ascii="Arial" w:hAnsi="Arial" w:cs="Arial"/>
        </w:rPr>
        <w:t xml:space="preserve">tych </w:t>
      </w:r>
      <w:r w:rsidRPr="00704F5D">
        <w:rPr>
          <w:rFonts w:ascii="Arial" w:hAnsi="Arial" w:cs="Arial"/>
        </w:rPr>
        <w:t>danych</w:t>
      </w:r>
      <w:r w:rsidR="00FB0799" w:rsidRPr="00704F5D">
        <w:rPr>
          <w:rFonts w:ascii="Arial" w:hAnsi="Arial" w:cs="Arial"/>
        </w:rPr>
        <w:t xml:space="preserve">, a w miejscach nie dotyczących </w:t>
      </w:r>
      <w:r w:rsidRPr="00704F5D">
        <w:rPr>
          <w:rFonts w:ascii="Arial" w:hAnsi="Arial" w:cs="Arial"/>
        </w:rPr>
        <w:t xml:space="preserve">rozwiązania </w:t>
      </w:r>
      <w:r w:rsidR="00FB0799" w:rsidRPr="00704F5D">
        <w:rPr>
          <w:rFonts w:ascii="Arial" w:hAnsi="Arial" w:cs="Arial"/>
        </w:rPr>
        <w:t>zaoferowanego powinien wpisać „nie dotyczy”.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w których Zamawiający wpisał „Producent: …, typ:…., model: ….” należy podać producenta oraz, o ile występuje, typ i model urządzenia, podzespołu itp.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i sprawdzenie, czy Wykonawca spełnił wszystkie wymagania określone przez Zamawiającego. </w:t>
      </w:r>
    </w:p>
    <w:p w:rsidR="005112D3" w:rsidRPr="00A77ABE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gdzie konieczne jest podanie wartości liczbowych, należy je podać w jednostkach i z dokładnością podawaną przez zamawiającego w kolumnie „Wymagania Zamawiającego”, umożliwiających jednoznaczne potwierdzenie i sprawdzenie, czy Wykonawca spełnił wszystkie wymagania określone przez Zamawiającego.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584"/>
        <w:gridCol w:w="2952"/>
      </w:tblGrid>
      <w:tr w:rsidR="00A77ABE" w:rsidRPr="00A77ABE" w:rsidTr="004A7FC7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305F30" w:rsidRPr="00665AA9" w:rsidRDefault="00305F30" w:rsidP="005112D3">
            <w:pPr>
              <w:jc w:val="center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Lp.</w:t>
            </w:r>
          </w:p>
        </w:tc>
        <w:tc>
          <w:tcPr>
            <w:tcW w:w="7114" w:type="dxa"/>
            <w:gridSpan w:val="2"/>
            <w:shd w:val="clear" w:color="auto" w:fill="D9D9D9" w:themeFill="background1" w:themeFillShade="D9"/>
            <w:vAlign w:val="center"/>
          </w:tcPr>
          <w:p w:rsidR="00305F30" w:rsidRPr="00665AA9" w:rsidRDefault="00305F30" w:rsidP="005112D3">
            <w:pPr>
              <w:jc w:val="center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Wymagania Zamawiającego</w:t>
            </w:r>
            <w:r w:rsidR="00875C1B" w:rsidRPr="00665AA9">
              <w:rPr>
                <w:rFonts w:cs="Arial"/>
                <w:b/>
              </w:rPr>
              <w:t xml:space="preserve"> zawarte w specyfikacji technicznej </w:t>
            </w:r>
            <w:r w:rsidR="00875C1B" w:rsidRPr="00665AA9">
              <w:rPr>
                <w:rFonts w:cs="Arial"/>
                <w:b/>
              </w:rPr>
              <w:lastRenderedPageBreak/>
              <w:t>autobusu elektrycznego</w:t>
            </w:r>
            <w:r w:rsidRPr="00665AA9">
              <w:rPr>
                <w:rFonts w:cs="Arial"/>
                <w:b/>
              </w:rPr>
              <w:t>, które Wykonawca zobowiązany jest potwierdzić</w:t>
            </w:r>
            <w:r w:rsidR="0019599B" w:rsidRPr="00665AA9">
              <w:rPr>
                <w:rFonts w:cs="Arial"/>
                <w:b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lastRenderedPageBreak/>
              <w:t xml:space="preserve">Oferowane przez </w:t>
            </w:r>
            <w:r w:rsidRPr="00A77ABE">
              <w:rPr>
                <w:rFonts w:cs="Arial"/>
                <w:b/>
              </w:rPr>
              <w:lastRenderedPageBreak/>
              <w:t>Wykonawcę: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rozwiązania techniczne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parametry techniczne,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okresy gwarancji</w:t>
            </w:r>
          </w:p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Potwierdzające w sposób jednoznaczny spełnienie wymagań Zamawiającego.</w:t>
            </w:r>
          </w:p>
        </w:tc>
      </w:tr>
      <w:tr w:rsidR="00A77ABE" w:rsidRPr="00A77ABE" w:rsidTr="004A7FC7">
        <w:tc>
          <w:tcPr>
            <w:tcW w:w="566" w:type="dxa"/>
            <w:vMerge/>
          </w:tcPr>
          <w:p w:rsidR="00305F30" w:rsidRPr="00665AA9" w:rsidRDefault="00305F30" w:rsidP="00305F30">
            <w:pPr>
              <w:rPr>
                <w:rFonts w:cs="Arial"/>
              </w:rPr>
            </w:pP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5F30" w:rsidRPr="00665AA9" w:rsidRDefault="00305F30" w:rsidP="005112D3">
            <w:pPr>
              <w:jc w:val="center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Opis wymagania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05F30" w:rsidRPr="00A77ABE" w:rsidRDefault="00305F30" w:rsidP="004A7FC7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Nr pozycji w specyfikacji technicznej</w:t>
            </w:r>
          </w:p>
        </w:tc>
        <w:tc>
          <w:tcPr>
            <w:tcW w:w="2952" w:type="dxa"/>
            <w:vMerge/>
          </w:tcPr>
          <w:p w:rsidR="00305F30" w:rsidRPr="00A77ABE" w:rsidRDefault="00305F30" w:rsidP="00305F30">
            <w:pPr>
              <w:rPr>
                <w:rFonts w:cs="Arial"/>
              </w:rPr>
            </w:pPr>
          </w:p>
        </w:tc>
      </w:tr>
      <w:tr w:rsidR="00665AA9" w:rsidRPr="00665AA9" w:rsidTr="004A7FC7">
        <w:tc>
          <w:tcPr>
            <w:tcW w:w="566" w:type="dxa"/>
          </w:tcPr>
          <w:p w:rsidR="00305F30" w:rsidRPr="00665AA9" w:rsidRDefault="00305F30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1</w:t>
            </w:r>
            <w:r w:rsidR="00973C1A" w:rsidRPr="00665AA9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305F30" w:rsidRPr="00665AA9" w:rsidRDefault="0097231A" w:rsidP="005B763D">
            <w:pPr>
              <w:rPr>
                <w:rFonts w:cs="Arial"/>
              </w:rPr>
            </w:pPr>
            <w:r w:rsidRPr="00665AA9">
              <w:rPr>
                <w:rFonts w:cs="Arial"/>
              </w:rPr>
              <w:t>Autobus elektryczny fabrycznie nowy, dwuczłonowy, trzyosiowy, spełniający wszystkie przepisy warunkujące dopuszczenie go do ruchu drogowego na terenie Polski.</w:t>
            </w:r>
          </w:p>
        </w:tc>
        <w:tc>
          <w:tcPr>
            <w:tcW w:w="1584" w:type="dxa"/>
          </w:tcPr>
          <w:p w:rsidR="00305F30" w:rsidRPr="00B60C0D" w:rsidRDefault="00305F30" w:rsidP="00305F30">
            <w:pPr>
              <w:jc w:val="center"/>
              <w:rPr>
                <w:rFonts w:cs="Arial"/>
              </w:rPr>
            </w:pPr>
            <w:r w:rsidRPr="00B60C0D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:rsidR="00305F30" w:rsidRPr="00665AA9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Producent:…</w:t>
            </w:r>
          </w:p>
          <w:p w:rsidR="00A44368" w:rsidRPr="00665AA9" w:rsidRDefault="00A44368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Marka:…</w:t>
            </w:r>
          </w:p>
          <w:p w:rsidR="00305F30" w:rsidRPr="00665AA9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Typ:…</w:t>
            </w:r>
          </w:p>
          <w:p w:rsidR="00305F30" w:rsidRPr="00665AA9" w:rsidRDefault="00305F30" w:rsidP="00633003">
            <w:pPr>
              <w:rPr>
                <w:rFonts w:cs="Arial"/>
                <w:b/>
              </w:rPr>
            </w:pPr>
            <w:r w:rsidRPr="00665AA9">
              <w:rPr>
                <w:rFonts w:cs="Arial"/>
                <w:b/>
              </w:rPr>
              <w:t>Model:…</w:t>
            </w:r>
          </w:p>
          <w:p w:rsidR="001B635C" w:rsidRPr="00665AA9" w:rsidRDefault="001B635C" w:rsidP="001B635C">
            <w:pPr>
              <w:rPr>
                <w:rFonts w:cs="Arial"/>
              </w:rPr>
            </w:pPr>
            <w:r w:rsidRPr="00665AA9">
              <w:rPr>
                <w:rFonts w:cs="Arial"/>
                <w:b/>
              </w:rPr>
              <w:t>Okres gwarancji całopojazdowej</w:t>
            </w:r>
            <w:r w:rsidR="00EA2523" w:rsidRPr="00665AA9">
              <w:rPr>
                <w:rFonts w:cs="Arial"/>
                <w:b/>
              </w:rPr>
              <w:t xml:space="preserve"> (minimalny wymagany 36 miesięcy)</w:t>
            </w:r>
            <w:r w:rsidR="0038408D" w:rsidRPr="00665AA9">
              <w:rPr>
                <w:rFonts w:cs="Arial"/>
                <w:b/>
              </w:rPr>
              <w:t xml:space="preserve"> </w:t>
            </w:r>
            <w:r w:rsidRPr="00665AA9">
              <w:rPr>
                <w:rFonts w:cs="Arial"/>
                <w:b/>
              </w:rPr>
              <w:t>……</w:t>
            </w:r>
            <w:r w:rsidR="0038408D" w:rsidRPr="00665AA9">
              <w:rPr>
                <w:rFonts w:cs="Arial"/>
                <w:b/>
              </w:rPr>
              <w:t xml:space="preserve"> </w:t>
            </w:r>
            <w:r w:rsidRPr="00665AA9">
              <w:rPr>
                <w:rFonts w:cs="Arial"/>
                <w:b/>
              </w:rPr>
              <w:t>m</w:t>
            </w:r>
            <w:r w:rsidR="00EA2523" w:rsidRPr="00665AA9">
              <w:rPr>
                <w:rFonts w:cs="Arial"/>
                <w:b/>
              </w:rPr>
              <w:t>iesięcy</w:t>
            </w:r>
          </w:p>
        </w:tc>
      </w:tr>
      <w:tr w:rsidR="0097231A" w:rsidRPr="00A77ABE" w:rsidTr="009E661C">
        <w:tc>
          <w:tcPr>
            <w:tcW w:w="566" w:type="dxa"/>
          </w:tcPr>
          <w:p w:rsidR="0097231A" w:rsidRPr="00665AA9" w:rsidRDefault="0097231A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2.</w:t>
            </w:r>
          </w:p>
        </w:tc>
        <w:tc>
          <w:tcPr>
            <w:tcW w:w="5530" w:type="dxa"/>
            <w:vAlign w:val="center"/>
          </w:tcPr>
          <w:p w:rsidR="0097231A" w:rsidRPr="00665AA9" w:rsidRDefault="0097231A" w:rsidP="00591BA0">
            <w:pPr>
              <w:snapToGrid w:val="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Liczba miejsc siedzących obliczona zgodnie obowiązującym prawem musi być ≥ 40</w:t>
            </w:r>
          </w:p>
        </w:tc>
        <w:tc>
          <w:tcPr>
            <w:tcW w:w="1584" w:type="dxa"/>
          </w:tcPr>
          <w:p w:rsidR="0097231A" w:rsidRPr="00A77ABE" w:rsidRDefault="0097231A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2.1</w:t>
            </w:r>
          </w:p>
        </w:tc>
        <w:tc>
          <w:tcPr>
            <w:tcW w:w="2952" w:type="dxa"/>
          </w:tcPr>
          <w:p w:rsidR="0097231A" w:rsidRPr="00A77ABE" w:rsidRDefault="0097231A" w:rsidP="00633003">
            <w:pPr>
              <w:snapToGrid w:val="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Liczba miejsc siedzących:…</w:t>
            </w:r>
          </w:p>
        </w:tc>
      </w:tr>
      <w:tr w:rsidR="0097231A" w:rsidRPr="00A77ABE" w:rsidTr="009E661C">
        <w:tc>
          <w:tcPr>
            <w:tcW w:w="566" w:type="dxa"/>
          </w:tcPr>
          <w:p w:rsidR="0097231A" w:rsidRPr="00665AA9" w:rsidRDefault="0097231A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3.</w:t>
            </w:r>
          </w:p>
        </w:tc>
        <w:tc>
          <w:tcPr>
            <w:tcW w:w="5530" w:type="dxa"/>
            <w:vAlign w:val="center"/>
          </w:tcPr>
          <w:p w:rsidR="0097231A" w:rsidRPr="00665AA9" w:rsidRDefault="0097231A" w:rsidP="00591BA0">
            <w:pPr>
              <w:autoSpaceDE w:val="0"/>
              <w:snapToGrid w:val="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Całkowita liczba miejsc w pojeździe, zdefiniowana w  świadectwie zgodności WE lub innym dokumencie wymaganym do zarejestrowania w Polsce, musi być </w:t>
            </w:r>
            <w:r w:rsidRPr="00665AA9">
              <w:rPr>
                <w:rFonts w:cs="Arial"/>
              </w:rPr>
              <w:br/>
              <w:t>≥ 120</w:t>
            </w:r>
          </w:p>
        </w:tc>
        <w:tc>
          <w:tcPr>
            <w:tcW w:w="1584" w:type="dxa"/>
          </w:tcPr>
          <w:p w:rsidR="0097231A" w:rsidRPr="00A77ABE" w:rsidRDefault="0097231A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2.2</w:t>
            </w:r>
          </w:p>
        </w:tc>
        <w:tc>
          <w:tcPr>
            <w:tcW w:w="2952" w:type="dxa"/>
          </w:tcPr>
          <w:p w:rsidR="0097231A" w:rsidRPr="00A77ABE" w:rsidRDefault="0097231A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Całkowita liczba miejsc pasażerskich:…</w:t>
            </w:r>
          </w:p>
        </w:tc>
      </w:tr>
      <w:tr w:rsidR="0097231A" w:rsidRPr="00A77ABE" w:rsidTr="009E661C">
        <w:tc>
          <w:tcPr>
            <w:tcW w:w="566" w:type="dxa"/>
          </w:tcPr>
          <w:p w:rsidR="0097231A" w:rsidRPr="00665AA9" w:rsidRDefault="0097231A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4.</w:t>
            </w:r>
          </w:p>
        </w:tc>
        <w:tc>
          <w:tcPr>
            <w:tcW w:w="5530" w:type="dxa"/>
            <w:vAlign w:val="center"/>
          </w:tcPr>
          <w:p w:rsidR="0097231A" w:rsidRPr="00665AA9" w:rsidRDefault="0097231A" w:rsidP="00591BA0">
            <w:pPr>
              <w:autoSpaceDE w:val="0"/>
              <w:snapToGrid w:val="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Liczba miejsc dostępnych z niskiej podłogi nie mniej, niż: 10, w tym 4 miejsca siedzące wykonane jako siedzenia specjalnie dla pasażerów niepełnosprawnych, spełniające wymagania Załącznika nr 8 do Regulaminu nr 107 EKG ONZ, zlokalizowane w rejonie drugich drzwi dla pasażerów.</w:t>
            </w:r>
          </w:p>
        </w:tc>
        <w:tc>
          <w:tcPr>
            <w:tcW w:w="1584" w:type="dxa"/>
          </w:tcPr>
          <w:p w:rsidR="0097231A" w:rsidRPr="00A77ABE" w:rsidRDefault="0097231A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2.3</w:t>
            </w:r>
          </w:p>
        </w:tc>
        <w:tc>
          <w:tcPr>
            <w:tcW w:w="2952" w:type="dxa"/>
          </w:tcPr>
          <w:p w:rsidR="0097231A" w:rsidRPr="00A77ABE" w:rsidRDefault="0097231A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Liczba miejsc dostępnych z niskiej podłogi:…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665AA9" w:rsidRDefault="00973C1A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5.</w:t>
            </w:r>
          </w:p>
        </w:tc>
        <w:tc>
          <w:tcPr>
            <w:tcW w:w="5530" w:type="dxa"/>
          </w:tcPr>
          <w:p w:rsidR="00633003" w:rsidRPr="00665AA9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Długość całkowita od </w:t>
            </w:r>
            <w:r w:rsidR="0097231A" w:rsidRPr="00665AA9">
              <w:rPr>
                <w:rFonts w:cs="Arial"/>
              </w:rPr>
              <w:t>17,50 m do 18,75 m.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Długość całkowita: … m</w:t>
            </w:r>
          </w:p>
        </w:tc>
      </w:tr>
      <w:tr w:rsidR="0097231A" w:rsidRPr="00A77ABE" w:rsidTr="00301E93">
        <w:tc>
          <w:tcPr>
            <w:tcW w:w="566" w:type="dxa"/>
          </w:tcPr>
          <w:p w:rsidR="0097231A" w:rsidRPr="00665AA9" w:rsidRDefault="0097231A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6.</w:t>
            </w:r>
          </w:p>
        </w:tc>
        <w:tc>
          <w:tcPr>
            <w:tcW w:w="5530" w:type="dxa"/>
            <w:vAlign w:val="center"/>
          </w:tcPr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 xml:space="preserve">Zalecane jest zawieszenie przednie niezależne. Dopuszcza się zawieszenie zależne z belką sztywną. 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Pneumatyczne, z możliwością realizacji funkcji tzw. „przyklęku”, umożliwiającego obniżenie poziomu podłogi o co najmniej 60 mm, podczas postoju na przystanku.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Funkcja musi być uruchamiana ze stanowiska kierowcy oraz posiadać możliwość uruchomienia przyklęku zarówno przy otwartych jak i zamkniętych drzwiach pojazdu oraz możliwość utrzymania autobusu w stanie przyklęku również po wyłączeniu stacyjki.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 xml:space="preserve">Przy aktywnej funkcji przyklęku oraz: 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otwartych drzwiach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 xml:space="preserve">lub 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ind w:left="355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lastRenderedPageBreak/>
              <w:t xml:space="preserve">aktywnej funkcji otwierania drzwi przez pasażerów </w:t>
            </w:r>
          </w:p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 xml:space="preserve">pojazd musi być utrzymywany w pozycji przyklęku.  </w:t>
            </w:r>
          </w:p>
        </w:tc>
        <w:tc>
          <w:tcPr>
            <w:tcW w:w="1584" w:type="dxa"/>
          </w:tcPr>
          <w:p w:rsidR="0097231A" w:rsidRPr="00A77ABE" w:rsidRDefault="0097231A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5.1</w:t>
            </w:r>
          </w:p>
        </w:tc>
        <w:tc>
          <w:tcPr>
            <w:tcW w:w="2952" w:type="dxa"/>
          </w:tcPr>
          <w:p w:rsidR="0097231A" w:rsidRPr="00A77ABE" w:rsidRDefault="0097231A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elementów mechanicznych</w:t>
            </w:r>
          </w:p>
          <w:p w:rsidR="0097231A" w:rsidRPr="00A77ABE" w:rsidRDefault="0097231A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(osi ):…</w:t>
            </w:r>
          </w:p>
          <w:p w:rsidR="0097231A" w:rsidRPr="00A77ABE" w:rsidRDefault="0097231A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97231A" w:rsidRPr="00A77ABE" w:rsidRDefault="0097231A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>Model:…</w:t>
            </w:r>
          </w:p>
          <w:p w:rsidR="0097231A" w:rsidRPr="00A77ABE" w:rsidRDefault="0097231A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  <w:p w:rsidR="0097231A" w:rsidRPr="00A77ABE" w:rsidRDefault="0097231A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>Opis oferowanego rozwiązania:</w:t>
            </w:r>
          </w:p>
        </w:tc>
      </w:tr>
      <w:tr w:rsidR="0097231A" w:rsidRPr="00A77ABE" w:rsidTr="00301E93">
        <w:tc>
          <w:tcPr>
            <w:tcW w:w="566" w:type="dxa"/>
          </w:tcPr>
          <w:p w:rsidR="0097231A" w:rsidRPr="00665AA9" w:rsidRDefault="0097231A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lastRenderedPageBreak/>
              <w:t>7.</w:t>
            </w:r>
          </w:p>
        </w:tc>
        <w:tc>
          <w:tcPr>
            <w:tcW w:w="5530" w:type="dxa"/>
            <w:vAlign w:val="center"/>
          </w:tcPr>
          <w:p w:rsidR="0097231A" w:rsidRPr="00665AA9" w:rsidRDefault="0097231A" w:rsidP="00591BA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Oś napędowa - w drugim członie pojazdu ( 3 oś pojazdu).</w:t>
            </w:r>
          </w:p>
        </w:tc>
        <w:tc>
          <w:tcPr>
            <w:tcW w:w="1584" w:type="dxa"/>
          </w:tcPr>
          <w:p w:rsidR="0097231A" w:rsidRPr="00A77ABE" w:rsidRDefault="0097231A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5.2</w:t>
            </w:r>
          </w:p>
        </w:tc>
        <w:tc>
          <w:tcPr>
            <w:tcW w:w="2952" w:type="dxa"/>
          </w:tcPr>
          <w:p w:rsidR="0097231A" w:rsidRPr="00A77ABE" w:rsidRDefault="0097231A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97231A" w:rsidRPr="00A77ABE" w:rsidRDefault="0097231A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97231A" w:rsidRPr="00A77ABE" w:rsidRDefault="0097231A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476626" w:rsidRPr="00A77ABE" w:rsidTr="007554B2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7a.</w:t>
            </w:r>
          </w:p>
        </w:tc>
        <w:tc>
          <w:tcPr>
            <w:tcW w:w="5530" w:type="dxa"/>
            <w:vAlign w:val="center"/>
          </w:tcPr>
          <w:p w:rsidR="00302D82" w:rsidRPr="00665AA9" w:rsidRDefault="00302D82" w:rsidP="00302D82">
            <w:pPr>
              <w:pStyle w:val="Akapitzlist"/>
              <w:ind w:left="72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Wymagany jest układ centralnego smarowania, spełniający niżej wymienione wymagania:</w:t>
            </w:r>
          </w:p>
          <w:p w:rsidR="00302D82" w:rsidRPr="00665AA9" w:rsidRDefault="00302D82" w:rsidP="00302D82">
            <w:pPr>
              <w:pStyle w:val="Akapitzlist"/>
              <w:ind w:left="72"/>
              <w:jc w:val="both"/>
              <w:rPr>
                <w:rFonts w:ascii="Arial" w:hAnsi="Arial" w:cs="Arial"/>
                <w:strike/>
                <w:lang w:eastAsia="pl-PL"/>
              </w:rPr>
            </w:pPr>
          </w:p>
          <w:p w:rsidR="00302D82" w:rsidRPr="00665AA9" w:rsidRDefault="00302D82" w:rsidP="00302D82">
            <w:pPr>
              <w:pStyle w:val="Akapitzlist"/>
              <w:ind w:left="72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7.1.1.</w:t>
            </w:r>
            <w:r w:rsidRPr="00665AA9">
              <w:rPr>
                <w:rFonts w:ascii="Arial" w:hAnsi="Arial" w:cs="Arial"/>
                <w:lang w:eastAsia="pl-PL"/>
              </w:rPr>
              <w:tab/>
              <w:t>Zalecana jest funkcja manualnego przesmarowania, polegająca na ręcznym wymuszeniu przez operatora cyklu smarowania.</w:t>
            </w:r>
          </w:p>
          <w:p w:rsidR="00302D82" w:rsidRPr="00665AA9" w:rsidRDefault="00302D82" w:rsidP="00302D82">
            <w:pPr>
              <w:pStyle w:val="Akapitzlist"/>
              <w:ind w:left="72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7.1.2.</w:t>
            </w:r>
            <w:r w:rsidRPr="00665AA9">
              <w:rPr>
                <w:rFonts w:ascii="Arial" w:hAnsi="Arial" w:cs="Arial"/>
                <w:lang w:eastAsia="pl-PL"/>
              </w:rPr>
              <w:tab/>
              <w:t>Układ musi posiadać system diagnozy, informujący w kabinie kierowcy co najmniej o wystąpieniu usterki i braku smaru w zasobniku.</w:t>
            </w:r>
          </w:p>
          <w:p w:rsidR="00476626" w:rsidRPr="00665AA9" w:rsidRDefault="00302D82" w:rsidP="00302D82">
            <w:pPr>
              <w:pStyle w:val="Akapitzlist"/>
              <w:ind w:left="72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7.1.3. Smarowanie co najmniej elementów układu zawieszenia oraz elementów przegubu łączącego człony autobusu.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7.1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</w:tc>
      </w:tr>
      <w:tr w:rsidR="00476626" w:rsidRPr="00A77ABE" w:rsidTr="007554B2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8.</w:t>
            </w:r>
          </w:p>
        </w:tc>
        <w:tc>
          <w:tcPr>
            <w:tcW w:w="5530" w:type="dxa"/>
            <w:vAlign w:val="center"/>
          </w:tcPr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Zalecany jest jeden centralny silnik, zabudowany przed osią napędową, napędzający most napędowy.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  <w:strike/>
              </w:rPr>
            </w:pPr>
            <w:r w:rsidRPr="00665AA9">
              <w:rPr>
                <w:rFonts w:cs="Arial"/>
              </w:rPr>
              <w:t xml:space="preserve">Dopuszcza się rozwiązanie z 2 silnikami trakcyjnymi o identycznych parametrach, zabudowanymi w portalowej osi napędowej. </w:t>
            </w:r>
          </w:p>
          <w:p w:rsidR="00476626" w:rsidRPr="00665AA9" w:rsidRDefault="00302D82" w:rsidP="00302D82">
            <w:pPr>
              <w:snapToGrid w:val="0"/>
              <w:spacing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Silnik/silniki prądu przemiennego, asynchroniczne. Zalecany jest silnik klatkowy, zwarty 6 polowy.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8.1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silnika/silników:…</w:t>
            </w:r>
          </w:p>
          <w:p w:rsidR="00476626" w:rsidRPr="00A77ABE" w:rsidRDefault="00476626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476626" w:rsidRPr="00A77ABE" w:rsidRDefault="00476626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</w:p>
          <w:p w:rsidR="00476626" w:rsidRPr="00A77ABE" w:rsidRDefault="00476626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  <w:p w:rsidR="00476626" w:rsidRPr="00A77ABE" w:rsidRDefault="00476626" w:rsidP="00633003">
            <w:pPr>
              <w:rPr>
                <w:rFonts w:cs="Arial"/>
              </w:rPr>
            </w:pPr>
          </w:p>
        </w:tc>
      </w:tr>
      <w:tr w:rsidR="00476626" w:rsidRPr="00A77ABE" w:rsidTr="007554B2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9.</w:t>
            </w:r>
          </w:p>
        </w:tc>
        <w:tc>
          <w:tcPr>
            <w:tcW w:w="5530" w:type="dxa"/>
            <w:vAlign w:val="center"/>
          </w:tcPr>
          <w:p w:rsidR="00476626" w:rsidRPr="00665AA9" w:rsidRDefault="00476626" w:rsidP="008F1AAA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</w:p>
          <w:p w:rsidR="00476626" w:rsidRPr="00665AA9" w:rsidRDefault="00476626" w:rsidP="008F1AAA">
            <w:pPr>
              <w:autoSpaceDE w:val="0"/>
              <w:snapToGrid w:val="0"/>
              <w:spacing w:before="120"/>
              <w:jc w:val="both"/>
              <w:rPr>
                <w:rFonts w:cs="Arial"/>
              </w:rPr>
            </w:pPr>
            <w:r w:rsidRPr="00665AA9">
              <w:rPr>
                <w:rFonts w:cs="Arial"/>
                <w:b/>
              </w:rPr>
              <w:t>Całkowita moc znamionowa</w:t>
            </w:r>
            <w:r w:rsidRPr="00665AA9">
              <w:rPr>
                <w:rFonts w:cs="Arial"/>
              </w:rPr>
              <w:t xml:space="preserve"> silnika centralnego lub </w:t>
            </w:r>
            <w:r w:rsidRPr="00665AA9">
              <w:rPr>
                <w:rFonts w:cs="Arial"/>
                <w:b/>
              </w:rPr>
              <w:t>całkowita moc znamionowa</w:t>
            </w:r>
            <w:r w:rsidRPr="00665AA9">
              <w:rPr>
                <w:rFonts w:cs="Arial"/>
              </w:rPr>
              <w:t xml:space="preserve"> sumaryczna 2 silników zamontowanych w osi napędowej musi być ≥ 240 kW,</w:t>
            </w:r>
          </w:p>
          <w:p w:rsidR="00476626" w:rsidRPr="00665AA9" w:rsidRDefault="00476626" w:rsidP="008F1AAA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8.2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Moc znamionowa silnika centralnego: … kW</w:t>
            </w:r>
          </w:p>
          <w:p w:rsidR="00476626" w:rsidRPr="00A77ABE" w:rsidRDefault="00476626" w:rsidP="00633003">
            <w:pPr>
              <w:jc w:val="both"/>
              <w:rPr>
                <w:rFonts w:cs="Arial"/>
                <w:b/>
              </w:rPr>
            </w:pPr>
          </w:p>
          <w:p w:rsidR="00476626" w:rsidRPr="00A77ABE" w:rsidRDefault="00476626" w:rsidP="00633003">
            <w:pPr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lub</w:t>
            </w:r>
          </w:p>
          <w:p w:rsidR="00476626" w:rsidRPr="00A77ABE" w:rsidRDefault="00476626" w:rsidP="00633003">
            <w:pPr>
              <w:jc w:val="both"/>
              <w:rPr>
                <w:rFonts w:cs="Arial"/>
                <w:b/>
              </w:rPr>
            </w:pPr>
          </w:p>
          <w:p w:rsidR="00476626" w:rsidRPr="00FB0799" w:rsidRDefault="00476626" w:rsidP="00633003">
            <w:pPr>
              <w:jc w:val="both"/>
              <w:rPr>
                <w:rFonts w:cs="Arial"/>
                <w:b/>
              </w:rPr>
            </w:pPr>
            <w:r w:rsidRPr="007B5371">
              <w:rPr>
                <w:rFonts w:cs="Arial"/>
                <w:b/>
              </w:rPr>
              <w:t>Sumaryczna moc znamionowa 2 silników zamontowanych w osi napędowej: … kW</w:t>
            </w:r>
          </w:p>
          <w:p w:rsidR="00476626" w:rsidRPr="00A77ABE" w:rsidRDefault="00476626" w:rsidP="00633003">
            <w:pPr>
              <w:rPr>
                <w:rFonts w:cs="Arial"/>
              </w:rPr>
            </w:pP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10.</w:t>
            </w:r>
          </w:p>
        </w:tc>
        <w:tc>
          <w:tcPr>
            <w:tcW w:w="5530" w:type="dxa"/>
          </w:tcPr>
          <w:p w:rsidR="00476626" w:rsidRPr="00665AA9" w:rsidRDefault="00476626" w:rsidP="0097231A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W przypadku zastosowania jednego centralnego silnika asynchronicznego, musi on spełniać następujące wymagania: klatkowy, zwarty przystosowany do zasilania z przekształtnika trakcyjnego,  posiadający wyizolowane wszystkie łożyska na wale silnika lub komory tych łożysk oraz wyposażony w szczotkę, która zwiera wał silnika z jego korpusem. </w:t>
            </w:r>
          </w:p>
          <w:p w:rsidR="00476626" w:rsidRPr="00665AA9" w:rsidRDefault="00476626" w:rsidP="0097231A">
            <w:pPr>
              <w:rPr>
                <w:rFonts w:cs="Arial"/>
              </w:rPr>
            </w:pPr>
            <w:r w:rsidRPr="00665AA9">
              <w:rPr>
                <w:rFonts w:cs="Arial"/>
              </w:rPr>
              <w:t xml:space="preserve">Dopuszcza się brak szczotki, która zwiera wał silnika z jego korpusem, jeżeli konstrukcja silnika wyklucza </w:t>
            </w:r>
            <w:r w:rsidRPr="00665AA9">
              <w:rPr>
                <w:rFonts w:cs="Arial"/>
              </w:rPr>
              <w:lastRenderedPageBreak/>
              <w:t>możliwość jego przyspieszonego zużycia na skutek występowania różnicy potencjałów pomiędzy wałem i korpusem silnika. W takim przypadku wykonawca musi udzielić gwarancji na łożyska silnika nie mniejszej niż 500 000 km.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8.3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„Gwarancja na łożyska silnika …. km”</w:t>
            </w:r>
          </w:p>
          <w:p w:rsidR="00476626" w:rsidRPr="00A77ABE" w:rsidRDefault="00476626" w:rsidP="009F2FA7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  <w:p w:rsidR="00476626" w:rsidRPr="00A77ABE" w:rsidRDefault="00476626" w:rsidP="00633003">
            <w:pPr>
              <w:rPr>
                <w:rFonts w:cs="Arial"/>
              </w:rPr>
            </w:pP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lastRenderedPageBreak/>
              <w:t>11.</w:t>
            </w:r>
          </w:p>
        </w:tc>
        <w:tc>
          <w:tcPr>
            <w:tcW w:w="5530" w:type="dxa"/>
          </w:tcPr>
          <w:p w:rsidR="00476626" w:rsidRPr="00665AA9" w:rsidRDefault="00476626" w:rsidP="00984D15">
            <w:pPr>
              <w:snapToGrid w:val="0"/>
              <w:spacing w:before="120" w:after="120"/>
              <w:ind w:left="360"/>
              <w:rPr>
                <w:rFonts w:cs="Arial"/>
              </w:rPr>
            </w:pPr>
            <w:r w:rsidRPr="00665AA9">
              <w:rPr>
                <w:rFonts w:cs="Arial"/>
              </w:rPr>
              <w:t>Opony bezdętkowe (identyczne dla całej dostawy), wielosezonowe (całoroczne), w wersji miejskiej ze wzmocnionym płaszczem bocznym, zapewniające przebieg co najmniej 100.000 km lub użytkowanie w czasie nie krótszym niż 48 miesięcy, umożliwiające bezpieczną eksploatację niezależnie od pory roku oraz panujących warunków pogodowych.</w:t>
            </w:r>
          </w:p>
          <w:p w:rsidR="00476626" w:rsidRPr="00665AA9" w:rsidRDefault="00476626" w:rsidP="00C966F9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9.1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Okres gwarancji na każdą oponę:</w:t>
            </w:r>
          </w:p>
          <w:p w:rsidR="00476626" w:rsidRPr="00A77ABE" w:rsidRDefault="00476626" w:rsidP="00900417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 km</w:t>
            </w:r>
          </w:p>
          <w:p w:rsidR="00476626" w:rsidRPr="00A77ABE" w:rsidRDefault="00476626" w:rsidP="00D44AA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 miesięcy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12.</w:t>
            </w:r>
          </w:p>
        </w:tc>
        <w:tc>
          <w:tcPr>
            <w:tcW w:w="5530" w:type="dxa"/>
          </w:tcPr>
          <w:p w:rsidR="00476626" w:rsidRPr="00665AA9" w:rsidRDefault="00476626" w:rsidP="00F85662">
            <w:pPr>
              <w:autoSpaceDE w:val="0"/>
              <w:snapToGrid w:val="0"/>
              <w:rPr>
                <w:rFonts w:cs="Arial"/>
              </w:rPr>
            </w:pPr>
            <w:r w:rsidRPr="00665AA9">
              <w:rPr>
                <w:rFonts w:cs="Arial"/>
              </w:rPr>
              <w:t>Układ pneumatyczny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</w:t>
            </w:r>
          </w:p>
        </w:tc>
        <w:tc>
          <w:tcPr>
            <w:tcW w:w="2952" w:type="dxa"/>
          </w:tcPr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układu pneumatycznego :…</w:t>
            </w: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13.</w:t>
            </w:r>
          </w:p>
        </w:tc>
        <w:tc>
          <w:tcPr>
            <w:tcW w:w="5530" w:type="dxa"/>
          </w:tcPr>
          <w:p w:rsidR="00476626" w:rsidRPr="00665AA9" w:rsidRDefault="00476626" w:rsidP="00305F30">
            <w:pPr>
              <w:rPr>
                <w:rFonts w:cs="Arial"/>
              </w:rPr>
            </w:pPr>
            <w:r w:rsidRPr="00665AA9">
              <w:rPr>
                <w:rFonts w:cs="Arial"/>
              </w:rPr>
              <w:t>Wymagane jest zastosowanie łopatkowej sprężarki powietrza, w obwodzie przygotowania powietrza o wydatku dostosowanym do eksploatacji w ruchu miejskim. Sprężarka wyposażona w zawór zabezpieczający przed nadmiernym wzrostem ciśnienia w przypadku zatkania się przewodów za sprężarką lub inne rozwiązanie spełniające tę funkcję.</w:t>
            </w:r>
          </w:p>
        </w:tc>
        <w:tc>
          <w:tcPr>
            <w:tcW w:w="1584" w:type="dxa"/>
          </w:tcPr>
          <w:p w:rsidR="00476626" w:rsidRPr="00A77ABE" w:rsidRDefault="00476626" w:rsidP="00984D15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10.</w:t>
            </w:r>
            <w:r>
              <w:rPr>
                <w:rFonts w:cs="Arial"/>
              </w:rPr>
              <w:t>7</w:t>
            </w:r>
          </w:p>
        </w:tc>
        <w:tc>
          <w:tcPr>
            <w:tcW w:w="2952" w:type="dxa"/>
          </w:tcPr>
          <w:p w:rsidR="00476626" w:rsidRPr="00A77ABE" w:rsidRDefault="00476626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Producent sprężarki:……</w:t>
            </w:r>
          </w:p>
          <w:p w:rsidR="00476626" w:rsidRPr="00A77ABE" w:rsidRDefault="00476626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Typ:……………..</w:t>
            </w:r>
          </w:p>
          <w:p w:rsidR="00476626" w:rsidRPr="00A77ABE" w:rsidRDefault="00476626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Model:………….</w:t>
            </w:r>
          </w:p>
          <w:p w:rsidR="00476626" w:rsidRPr="00A77ABE" w:rsidRDefault="00476626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  <w:bCs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14.</w:t>
            </w:r>
          </w:p>
        </w:tc>
        <w:tc>
          <w:tcPr>
            <w:tcW w:w="5530" w:type="dxa"/>
          </w:tcPr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Wymagane jest ogrzewanie mieszane elektryczno – spalinowe: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ind w:left="497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•</w:t>
            </w:r>
            <w:r w:rsidRPr="00665AA9">
              <w:rPr>
                <w:rFonts w:cs="Arial"/>
              </w:rPr>
              <w:tab/>
              <w:t>przedziału pasażerskiego,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ind w:left="497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•</w:t>
            </w:r>
            <w:r w:rsidRPr="00665AA9">
              <w:rPr>
                <w:rFonts w:cs="Arial"/>
              </w:rPr>
              <w:tab/>
              <w:t>indywidualne ogrzewanie stanowiska kierowcy,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 w którym medium dostarczającym energię cieplną jest płyn niskokrzepnący wykonany na bazie glikolu  etylowego, mieszalny z innymi płynami opartymi na tej samej bazie. Płyn ma spełniać co najmniej wymagania normy ASTM D3306 lub SAE J1034 9 normy PN-93/C-40008 + poniższe warunki dodatkowe: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1. Temperatura zapłonu &gt; 120 ºC.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2.Temperatura krystalizacji płynu o stężeniu eksploatacyjnym ≤ -35 ºC (wg PN-93/C-40008/10).</w:t>
            </w:r>
          </w:p>
          <w:p w:rsidR="00302D82" w:rsidRPr="00665AA9" w:rsidRDefault="00302D82" w:rsidP="00302D82">
            <w:pPr>
              <w:autoSpaceDE w:val="0"/>
              <w:snapToGrid w:val="0"/>
              <w:spacing w:before="120" w:after="120"/>
              <w:jc w:val="both"/>
              <w:rPr>
                <w:rFonts w:eastAsia="Arial" w:cs="Arial"/>
                <w:lang w:eastAsia="pl-PL" w:bidi="pl-PL"/>
              </w:rPr>
            </w:pPr>
            <w:r w:rsidRPr="00665AA9">
              <w:rPr>
                <w:rFonts w:cs="Arial"/>
              </w:rPr>
              <w:t xml:space="preserve">Dopuszcza się zastosowanie </w:t>
            </w:r>
            <w:r w:rsidRPr="00665AA9">
              <w:rPr>
                <w:rFonts w:eastAsia="Arial" w:cs="Arial"/>
                <w:lang w:eastAsia="pl-PL" w:bidi="pl-PL"/>
              </w:rPr>
              <w:t>płynu chłodniczego na bazie etanodiolu (glikolu etylenowego), musi on jednak spełniać wszystkie przepisy prawa obowiązujące w tym zakresie oraz spełniać ww. warunki dodatkowe.</w:t>
            </w:r>
          </w:p>
          <w:p w:rsidR="00476626" w:rsidRPr="00665AA9" w:rsidRDefault="00302D82" w:rsidP="00302D82">
            <w:pPr>
              <w:rPr>
                <w:rFonts w:cs="Arial"/>
              </w:rPr>
            </w:pPr>
            <w:r w:rsidRPr="00665AA9">
              <w:rPr>
                <w:rFonts w:eastAsia="Arial" w:cs="Arial"/>
                <w:lang w:eastAsia="pl-PL" w:bidi="pl-PL"/>
              </w:rPr>
              <w:t>Wykonawca zobowiązany jest na etapie realizacji umowy przedstawić algorytm sterowania ogrzewaniem, (przedstawiający w szczególności wszystkie sygnały niezbędne do sterowania układem ogrzewania), z którego wynikać będzie jednoznacznie spełnienie funkcjonalności wymaganej przez zamawiającego.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12.1</w:t>
            </w:r>
          </w:p>
        </w:tc>
        <w:tc>
          <w:tcPr>
            <w:tcW w:w="2952" w:type="dxa"/>
          </w:tcPr>
          <w:p w:rsidR="00476626" w:rsidRPr="00A77ABE" w:rsidRDefault="00476626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  <w:p w:rsidR="00476626" w:rsidRPr="00A77ABE" w:rsidRDefault="00476626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476626" w:rsidRPr="00A77ABE" w:rsidRDefault="00476626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476626" w:rsidRPr="00A77ABE" w:rsidRDefault="00476626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 …</w:t>
            </w: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15.</w:t>
            </w:r>
          </w:p>
        </w:tc>
        <w:tc>
          <w:tcPr>
            <w:tcW w:w="5530" w:type="dxa"/>
          </w:tcPr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Dopuszcza się trzy rozwiązania układu klimatyzacji:</w:t>
            </w:r>
          </w:p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a) Rozwiązanie zalecane nr 1. Klimatyzacja składająca się z dwóch niezależnych układów: dla przestrzeni pasażerskiej oraz dla kabiny kierowcy.</w:t>
            </w:r>
          </w:p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 xml:space="preserve">Przez niezależny układ klimatyzacji zamawiający rozumie: </w:t>
            </w:r>
          </w:p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- wyposażony co najmniej w niżej wymienione oddzielne elementy:</w:t>
            </w:r>
          </w:p>
          <w:p w:rsidR="00302D82" w:rsidRPr="00665AA9" w:rsidRDefault="00302D82" w:rsidP="00302D82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sprężarkę z napędzającym ją silnikiem elektrycznym,</w:t>
            </w:r>
          </w:p>
          <w:p w:rsidR="00302D82" w:rsidRPr="00665AA9" w:rsidRDefault="00302D82" w:rsidP="00302D82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skraplacz,</w:t>
            </w:r>
          </w:p>
          <w:p w:rsidR="00302D82" w:rsidRPr="00665AA9" w:rsidRDefault="00302D82" w:rsidP="00302D82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parownik (lub parowniki),</w:t>
            </w:r>
          </w:p>
          <w:p w:rsidR="00302D82" w:rsidRPr="00665AA9" w:rsidRDefault="00302D82" w:rsidP="00302D82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zawór/zawory rozprężny/e.</w:t>
            </w:r>
          </w:p>
          <w:p w:rsidR="00302D82" w:rsidRPr="00665AA9" w:rsidRDefault="00302D82" w:rsidP="00302D82">
            <w:pPr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665AA9">
              <w:rPr>
                <w:rFonts w:cs="Arial"/>
                <w:lang w:eastAsia="pl-PL"/>
              </w:rPr>
              <w:t>Tym samym zamawiający wymaga, aby układy klimatyzacji przestrzeni pasażerskiej i kabiny kierowcy wyposażone były w co najmniej oddzielne ww. elementy.</w:t>
            </w:r>
            <w:r w:rsidRPr="00665AA9">
              <w:rPr>
                <w:rFonts w:cs="Arial"/>
                <w:lang w:eastAsia="pl-PL"/>
              </w:rPr>
              <w:br/>
            </w:r>
            <w:r w:rsidRPr="00665AA9">
              <w:rPr>
                <w:rFonts w:cs="Arial"/>
              </w:rPr>
              <w:t>Automatyczne sterowanie klimatyzacją w przestrzeni pasażerskiej, kiedy operator ustawia wyłącznie wymaganą temperaturę w przestrzeni pasażerskiej, a układ sterujący dobiera w sposób automatyczny, celem uzyskania jak najlepszego komfortu dla podróżnych, nastawy takich parametrów jak: intensywność chłodzenia/ogrzewania, natężenie nadmuchu powietrza, źródło pobieranego powietrza (z zewnątrz pojazdu, z wnętrza przestrzeni pasażerskiej lub w sposób mieszany). Ustawienie zadanej temperatury może być realizowane za pomocą kombinacji naciśnięć kilku przycisków na panelu sterującym lub w inny sposób uniemożliwiający kierowcy jej zmianę w prosty sposób.</w:t>
            </w:r>
          </w:p>
          <w:p w:rsidR="00302D82" w:rsidRPr="00665AA9" w:rsidRDefault="00302D82" w:rsidP="00302D82">
            <w:pPr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665AA9">
              <w:rPr>
                <w:rFonts w:cs="Arial"/>
                <w:lang w:eastAsia="pl-PL"/>
              </w:rPr>
              <w:t xml:space="preserve">Manualne </w:t>
            </w:r>
            <w:r w:rsidRPr="00665AA9">
              <w:rPr>
                <w:rFonts w:cs="Arial"/>
              </w:rPr>
              <w:t>sterowanie klimatyzacją</w:t>
            </w:r>
            <w:r w:rsidRPr="00665AA9">
              <w:rPr>
                <w:rFonts w:cs="Arial"/>
                <w:lang w:eastAsia="pl-PL"/>
              </w:rPr>
              <w:t xml:space="preserve"> kabiny kierowcy: umożliwiające operatorowi samodzielne ustawianie wszystkich parametrów pracy, tj. intensywności nadmuchu, temperatury wdmuchiwanego powietrza lub liczby stopni, o jaką ma nastąpić obniżenie lub podwyższenie tej temperatury.</w:t>
            </w:r>
          </w:p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</w:p>
          <w:p w:rsidR="00302D82" w:rsidRPr="00665AA9" w:rsidRDefault="00302D82" w:rsidP="00302D82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b) Rozwiązanie zalecane nr 2. Energooszczędny wspólny układ wentylacji, klimatyzacji i ogrzewania miejsca pracy kierowcy i klimatyzacji przestrzeni pasażerskiej, spełniający poniższe wymagania: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eastAsia="Calibri" w:cs="Arial"/>
                <w:bCs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logika sterowania wentylacją, klimatyzacją i ogrzewaniem zgodna z normą VDV 236/1 ECO. Temperatura w przestrzeni pasażerskiej wg przebiegu krzywej ekonomicznej dla autobusów klasy 1 (miejskich), lub l</w:t>
            </w:r>
            <w:r w:rsidRPr="00665AA9">
              <w:rPr>
                <w:rFonts w:eastAsia="Arial" w:cs="Arial"/>
              </w:rPr>
              <w:t>ogika sterowania klimatyzacją i ogrzewaniem oparta na charakterystyce opracowanej przez Producenta z uwzględnieniem zapewnienia optymalnego komfortu termicznego dla pasażerów jak i optymalną pod względem zużycia energii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eastAsia="Calibri" w:cs="Arial"/>
                <w:bCs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urządzenie zamontowane na dachu autobusu, elektryczne,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 xml:space="preserve">pompa ciepła włączona w układ ogrzewania całego autobusu, o mocy umożliwiającej utrzymanie komfortu termicznego w przestrzeni pasażerskiej i kabinie kierowcy. Musi umożliwiająca odzysk ciepła z otoczenia przy temperaturze zewnętrznej ≥ – 5 </w:t>
            </w:r>
            <w:r w:rsidRPr="00665AA9">
              <w:rPr>
                <w:rFonts w:cs="Arial"/>
                <w:noProof/>
              </w:rPr>
              <w:t>°</w:t>
            </w:r>
            <w:r w:rsidRPr="00665AA9">
              <w:rPr>
                <w:rFonts w:cs="Arial"/>
                <w:noProof/>
                <w:lang w:eastAsia="pl-PL"/>
              </w:rPr>
              <w:t xml:space="preserve">C. Zalecana jest jak najniższa wartość tej temperatury, od której zaczyna działać pompa ciepła z dodatnim bilansem. 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 xml:space="preserve">do temperatury zewnętrznej ≥ +8 </w:t>
            </w:r>
            <w:r w:rsidRPr="00665AA9">
              <w:rPr>
                <w:rFonts w:cs="Arial"/>
                <w:noProof/>
              </w:rPr>
              <w:t>°</w:t>
            </w:r>
            <w:r w:rsidRPr="00665AA9">
              <w:rPr>
                <w:rFonts w:cs="Arial"/>
                <w:noProof/>
                <w:lang w:eastAsia="pl-PL"/>
              </w:rPr>
              <w:t>C cała energia do ogrzewania autobusu musi pochodzić z pompy ciepła. Zalecana jest jak najniższa wartość tej temperatury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 xml:space="preserve">w zakresie temperatur od +8 </w:t>
            </w:r>
            <w:r w:rsidRPr="00665AA9">
              <w:rPr>
                <w:rFonts w:cs="Arial"/>
                <w:noProof/>
              </w:rPr>
              <w:t>°</w:t>
            </w:r>
            <w:r w:rsidRPr="00665AA9">
              <w:rPr>
                <w:rFonts w:cs="Arial"/>
                <w:noProof/>
                <w:lang w:eastAsia="pl-PL"/>
              </w:rPr>
              <w:t xml:space="preserve">C do -5 </w:t>
            </w:r>
            <w:r w:rsidRPr="00665AA9">
              <w:rPr>
                <w:rFonts w:cs="Arial"/>
                <w:noProof/>
              </w:rPr>
              <w:t>°</w:t>
            </w:r>
            <w:r w:rsidRPr="00665AA9">
              <w:rPr>
                <w:rFonts w:cs="Arial"/>
                <w:noProof/>
                <w:lang w:eastAsia="pl-PL"/>
              </w:rPr>
              <w:t>C cała energia do ogrzewania autobusu musi pochodzić z pompy ciepła, a w przypadku jej niedoboru również z pieca grzewczego,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 xml:space="preserve">poniżej  -5 </w:t>
            </w:r>
            <w:r w:rsidRPr="00665AA9">
              <w:rPr>
                <w:rFonts w:cs="Arial"/>
                <w:noProof/>
              </w:rPr>
              <w:t>°</w:t>
            </w:r>
            <w:r w:rsidRPr="00665AA9">
              <w:rPr>
                <w:rFonts w:cs="Arial"/>
                <w:noProof/>
                <w:lang w:eastAsia="pl-PL"/>
              </w:rPr>
              <w:t>C cała energia do ogrzewania autobusu może pochodzić z pieca grzewczego,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zalecana moc chłodnicza ≥ 44 kW, musi być wystarczająca dla spełnienia wymagań dotyczących komfortu termicznego,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działające automatycznie, w oparciu o dane rejestrowane przez czujniki temperatury wewnątrz i na zewnątrz autobusu, we współpracy z układem ogrzewania autobusu,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posiadająca funkcję chłodzenia i ogrzewania, z funkcją niezależnego sterowania pracą i regulacją temperatury w kabinie kierowcy oraz przestrzeni pasażerskiej,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sterownik umożliwiający ręczne ustawienie (w trybie serwisowym) wymaganej temperatury w przestrzeni pasażerskiej,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z możliwością pracy w trybie samej wentylacji przestrzeni pasażerskiej,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automatyczny układ sterowania pracą urządzenia klimatyzacyjnego, we współpracy z urządzeniami ogrzewczymi i wentylacyjnymi,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nadmuch powietrza realizowany wieloma otworami rozmieszczonymi równomiernie w przestrzeni pasażerskiej, w taki sposób, aby umożliwiały wymaganą wymianę powietrza. Nie może powodować dyskomfortu (odczucia chłodu lub uciążliwego hałasu związanego z pracą urządzenia) dla pasażerów siedzących i stojących w każdym miejscu przestrzeni pasażerskiej,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w miejscu łatwo dostępnym musi być zamontowane odpowiednie szybkozłącze kątowe umożliwiające podłączenie urządzenia do obsługi klimatyzacji.</w:t>
            </w:r>
          </w:p>
          <w:p w:rsidR="00302D82" w:rsidRPr="00665AA9" w:rsidRDefault="00302D82" w:rsidP="00302D82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665AA9">
              <w:rPr>
                <w:rFonts w:cs="Arial"/>
                <w:noProof/>
                <w:lang w:eastAsia="pl-PL"/>
              </w:rPr>
              <w:t>zastosowanie CO</w:t>
            </w:r>
            <w:r w:rsidRPr="00665AA9">
              <w:rPr>
                <w:rFonts w:cs="Arial"/>
                <w:noProof/>
                <w:vertAlign w:val="subscript"/>
                <w:lang w:eastAsia="pl-PL"/>
              </w:rPr>
              <w:t>2</w:t>
            </w:r>
            <w:r w:rsidRPr="00665AA9">
              <w:rPr>
                <w:rFonts w:cs="Arial"/>
                <w:noProof/>
                <w:lang w:eastAsia="pl-PL"/>
              </w:rPr>
              <w:t xml:space="preserve"> jako czynnika chłodniczego.</w:t>
            </w:r>
          </w:p>
          <w:p w:rsidR="00302D82" w:rsidRPr="00665AA9" w:rsidRDefault="00302D82" w:rsidP="00302D82">
            <w:pPr>
              <w:widowControl w:val="0"/>
              <w:spacing w:line="230" w:lineRule="exact"/>
              <w:jc w:val="both"/>
              <w:rPr>
                <w:rFonts w:eastAsia="Arial" w:cs="Arial"/>
                <w:bCs/>
                <w:lang w:eastAsia="pl-PL"/>
              </w:rPr>
            </w:pPr>
            <w:r w:rsidRPr="00665AA9">
              <w:rPr>
                <w:rFonts w:eastAsia="Arial" w:cs="Arial"/>
                <w:b/>
                <w:lang w:eastAsia="pl-PL"/>
              </w:rPr>
              <w:t xml:space="preserve">c) </w:t>
            </w:r>
            <w:r w:rsidRPr="00665AA9">
              <w:rPr>
                <w:rFonts w:eastAsia="Arial" w:cs="Arial"/>
                <w:lang w:eastAsia="pl-PL"/>
              </w:rPr>
              <w:t>Dopuszczone rozwiązanie alternatywne.</w:t>
            </w:r>
          </w:p>
          <w:p w:rsidR="00302D82" w:rsidRPr="00665AA9" w:rsidRDefault="00302D82" w:rsidP="00302D82">
            <w:pPr>
              <w:widowControl w:val="0"/>
              <w:spacing w:line="230" w:lineRule="exact"/>
              <w:jc w:val="both"/>
              <w:rPr>
                <w:rFonts w:eastAsia="Arial" w:cs="Arial"/>
                <w:bCs/>
                <w:lang w:eastAsia="pl-PL"/>
              </w:rPr>
            </w:pPr>
            <w:r w:rsidRPr="00665AA9">
              <w:rPr>
                <w:rFonts w:eastAsia="Arial" w:cs="Arial"/>
              </w:rPr>
              <w:t>Logika sterowania klimatyzacją i ogrzewaniem wg krzywej opracowanej przez Producenta z uwzględnieniem zapewnienia optymalnego komfortu termicznego dla pasażerów jak i optymalną pod względem zużycia energii.</w:t>
            </w:r>
          </w:p>
          <w:p w:rsidR="00302D82" w:rsidRPr="00665AA9" w:rsidRDefault="00302D82" w:rsidP="00302D82">
            <w:pPr>
              <w:widowControl w:val="0"/>
              <w:spacing w:line="230" w:lineRule="exact"/>
              <w:jc w:val="both"/>
              <w:rPr>
                <w:rFonts w:eastAsia="Arial" w:cs="Arial"/>
                <w:b/>
                <w:bCs/>
                <w:lang w:eastAsia="pl-PL"/>
              </w:rPr>
            </w:pPr>
          </w:p>
          <w:p w:rsidR="00302D82" w:rsidRPr="00665AA9" w:rsidRDefault="00302D82" w:rsidP="00302D82">
            <w:pPr>
              <w:widowControl w:val="0"/>
              <w:spacing w:line="230" w:lineRule="exact"/>
              <w:jc w:val="both"/>
              <w:rPr>
                <w:rFonts w:eastAsia="Arial" w:cs="Arial"/>
                <w:b/>
                <w:bCs/>
              </w:rPr>
            </w:pPr>
            <w:r w:rsidRPr="00665AA9">
              <w:rPr>
                <w:rFonts w:eastAsia="Arial" w:cs="Arial"/>
                <w:b/>
                <w:lang w:eastAsia="pl-PL"/>
              </w:rPr>
              <w:t>Uwaga dotycząca wszystkich ww. rozwiązań, tj. zalecanych i dopuszczonego: Wykonawca zobowiązany jest dostarczyć urządzenie do wymiany czynnika w trybie pracy automatycznej (tj. operator wybiera program wymiany czynnika i go załącza) oraz urządzenie diagnostyczne do obsługi, diagnozy i naprawy układu klimatyzacji.</w:t>
            </w:r>
          </w:p>
          <w:p w:rsidR="00476626" w:rsidRPr="00665AA9" w:rsidRDefault="00476626" w:rsidP="00146DD5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13.2</w:t>
            </w:r>
          </w:p>
        </w:tc>
        <w:tc>
          <w:tcPr>
            <w:tcW w:w="2952" w:type="dxa"/>
          </w:tcPr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klimatyzacji przestrzeni pasażerskiej : …</w:t>
            </w: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klimatyzacji kabiny kierowcy: …</w:t>
            </w:r>
          </w:p>
          <w:p w:rsidR="00476626" w:rsidRPr="00A77ABE" w:rsidRDefault="00476626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476626" w:rsidRPr="00A77ABE" w:rsidRDefault="00476626" w:rsidP="0089613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476626" w:rsidRPr="00A77ABE" w:rsidRDefault="00476626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16.</w:t>
            </w:r>
          </w:p>
        </w:tc>
        <w:tc>
          <w:tcPr>
            <w:tcW w:w="5530" w:type="dxa"/>
          </w:tcPr>
          <w:p w:rsidR="00476626" w:rsidRPr="00665AA9" w:rsidRDefault="00476626" w:rsidP="00984D15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Układ trakcyjny umieszczony w miejscu zapewniającym łatwy dostęp do wszystkich urządzeń. 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  <w:b/>
                <w:u w:val="single"/>
              </w:rPr>
              <w:t>Rozwiązanie zalecane</w:t>
            </w:r>
            <w:r w:rsidRPr="00665AA9">
              <w:rPr>
                <w:rFonts w:cs="Arial"/>
                <w:u w:val="single"/>
              </w:rPr>
              <w:t>:</w:t>
            </w:r>
            <w:r w:rsidRPr="00665AA9">
              <w:rPr>
                <w:rFonts w:cs="Arial"/>
              </w:rPr>
              <w:t xml:space="preserve"> Urządzenia takie jak: rozdzielnica wysokiego napięcia, falownik/falowniki trakcyjny/e, przetwornica statyczna, zabudowane muszą być w jednej wspólnej obudowie zamontowanej na dachu autobusu: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15.1.1.</w:t>
            </w:r>
            <w:r w:rsidRPr="00665AA9">
              <w:rPr>
                <w:rFonts w:cs="Arial"/>
              </w:rPr>
              <w:tab/>
              <w:t>Dostęp do elementów ww. urządzeń musi być możliwy po otwarciu jednej pokrywy. Dopuszcza się podzielenie tej pokrywy na segmenty.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15.1.2.  Nie dopuszcza się zabudowy ww. urządzeń w oddzielnych obudowach. Ponadto dostęp do wszystkich elementów składowych tych urządzeń tj.: styczników, tranzystorów, dławików, płyt sterujących, musi być możliwy bezpośrednio po otwarciu pokrywy, o której mowa w pkt 15.1.1.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15.1.3. Pokrywa musi być połączona z obudową za pomocą zawiasów i zabezpieczona przed otwarciem za pomocą zamków, których otwieranie i zamykanie musi odbywać się bez konieczności użycia dodatkowych narzędzi (przykład rozwiązania: dopuszcza się zamki zatrzaskowe, niedopuszczalne są natomiast połączenia śrubowe).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15.1.4. Nie dopuszcza się plombowania obudów jakichkolwiek urządzeń. </w:t>
            </w:r>
          </w:p>
          <w:p w:rsidR="00476626" w:rsidRPr="00665AA9" w:rsidRDefault="00476626" w:rsidP="00984D15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  <w:b/>
                <w:u w:val="single"/>
              </w:rPr>
              <w:t>Dopuszcza się rozwiązanie</w:t>
            </w:r>
            <w:r w:rsidRPr="00665AA9">
              <w:rPr>
                <w:rFonts w:cs="Arial"/>
              </w:rPr>
              <w:t>, w którym poszczególne elementy układu napędowego oraz urządzenia pomocnicze będą rozmieszczone zgodnie z potrzebami i możliwościami konstrukcyjnymi.</w:t>
            </w:r>
          </w:p>
          <w:p w:rsidR="00476626" w:rsidRPr="00665AA9" w:rsidRDefault="00476626" w:rsidP="00984D15">
            <w:pPr>
              <w:rPr>
                <w:rFonts w:cs="Arial"/>
              </w:rPr>
            </w:pPr>
            <w:r w:rsidRPr="00665AA9">
              <w:rPr>
                <w:rFonts w:cs="Arial"/>
              </w:rPr>
              <w:t xml:space="preserve">Konstrukcja obudowy, pokrywy oraz ich połączenie muszą zapewniać poprawną pracę zabudowanych urządzeń oraz utrzymanie prawidłowej rezystancji izolacji w warunkach panujących w polskiej strefie klimatycznej, a w szczególności poprzez zabezpieczenie przed wilgocią oraz dostawaniem się pyłów.    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15.1</w:t>
            </w:r>
          </w:p>
        </w:tc>
        <w:tc>
          <w:tcPr>
            <w:tcW w:w="2952" w:type="dxa"/>
          </w:tcPr>
          <w:p w:rsidR="00476626" w:rsidRPr="00A77ABE" w:rsidRDefault="00476626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476626" w:rsidRPr="00A77ABE" w:rsidRDefault="00476626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476626" w:rsidRPr="00A77ABE" w:rsidRDefault="00476626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476626" w:rsidRPr="00A77ABE" w:rsidRDefault="00476626" w:rsidP="00AF67C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17.</w:t>
            </w:r>
          </w:p>
        </w:tc>
        <w:tc>
          <w:tcPr>
            <w:tcW w:w="5530" w:type="dxa"/>
          </w:tcPr>
          <w:p w:rsidR="00302D82" w:rsidRPr="00665AA9" w:rsidRDefault="00302D82" w:rsidP="00302D82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Wymagana jest dostawa 3 szt. ładowarek  podwójnych oraz 1 szt. ładowarki pojedynczej, stacjonarnych małej mocy, przeznaczonych do ładowania wolnego, umożliwiających naładowanie baterii trakcyjnych autobusu od 0 do 100 % energii dostępnej oraz przeprowadzenie procesu balansowania napięć ogniw w czasie do 4 godzin. Każda z ładowarek musi być podłączona do stałego zasilania, oraz umożliwiać równoczesne ładowanie:</w:t>
            </w:r>
          </w:p>
          <w:p w:rsidR="00302D82" w:rsidRPr="00665AA9" w:rsidRDefault="00302D82" w:rsidP="00302D8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ładowarka podwójna - 2 szt. autobusów EV z mocą ≥ 60 kW każdy oraz umożliwiać ładowanie 1 szt. autobusu z mocą podwojoną tj. ≥ 120 kW.</w:t>
            </w:r>
          </w:p>
          <w:p w:rsidR="00302D82" w:rsidRPr="00665AA9" w:rsidRDefault="00302D82" w:rsidP="00302D8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ładowarka pojedyncza ma umożliwiać ładowanie 1 szt. autobusu z mocą tj. ≥ 60 kW. </w:t>
            </w:r>
          </w:p>
          <w:p w:rsidR="00476626" w:rsidRPr="00665AA9" w:rsidRDefault="00302D82" w:rsidP="00302D82">
            <w:pPr>
              <w:rPr>
                <w:rFonts w:cs="Arial"/>
              </w:rPr>
            </w:pPr>
            <w:r w:rsidRPr="00665AA9">
              <w:rPr>
                <w:rFonts w:cs="Arial"/>
                <w:lang w:eastAsia="pl-PL"/>
              </w:rPr>
              <w:t>Ładowarki wymienione powyżej muszą być zbudowane z identycznych modułów mocy.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17.1</w:t>
            </w:r>
          </w:p>
        </w:tc>
        <w:tc>
          <w:tcPr>
            <w:tcW w:w="2952" w:type="dxa"/>
          </w:tcPr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Producent ładowarki podwójnej:…</w:t>
            </w: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Typ:…</w:t>
            </w: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Model:…</w:t>
            </w: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Moc ładowarki podwójnej: … kW</w:t>
            </w: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476626" w:rsidRPr="00665AA9" w:rsidRDefault="00476626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Producent ładowarki mobilnej:…</w:t>
            </w:r>
          </w:p>
          <w:p w:rsidR="00476626" w:rsidRPr="00665AA9" w:rsidRDefault="00476626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Typ:…</w:t>
            </w:r>
          </w:p>
          <w:p w:rsidR="00476626" w:rsidRPr="00665AA9" w:rsidRDefault="00476626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Model:…</w:t>
            </w:r>
          </w:p>
          <w:p w:rsidR="00476626" w:rsidRPr="00665AA9" w:rsidRDefault="00476626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476626" w:rsidRPr="00665AA9" w:rsidRDefault="00476626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665AA9">
              <w:rPr>
                <w:rFonts w:cs="Arial"/>
                <w:b/>
                <w:lang w:eastAsia="pl-PL"/>
              </w:rPr>
              <w:t>Moc ładowarki mobilnej: … kW</w:t>
            </w:r>
          </w:p>
          <w:p w:rsidR="00476626" w:rsidRPr="00665AA9" w:rsidRDefault="00476626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476626" w:rsidRPr="00A77ABE" w:rsidRDefault="00476626" w:rsidP="00A533ED">
            <w:pPr>
              <w:rPr>
                <w:rFonts w:cs="Arial"/>
              </w:rPr>
            </w:pPr>
            <w:r w:rsidRPr="00665AA9">
              <w:rPr>
                <w:rFonts w:cs="Arial"/>
                <w:b/>
                <w:lang w:eastAsia="pl-PL"/>
              </w:rPr>
              <w:t xml:space="preserve">Okres gwarancji na ładowarki małej mocy (minimum 36 miesięcy): … mc 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18.</w:t>
            </w:r>
          </w:p>
        </w:tc>
        <w:tc>
          <w:tcPr>
            <w:tcW w:w="5530" w:type="dxa"/>
          </w:tcPr>
          <w:p w:rsidR="00476626" w:rsidRPr="00665AA9" w:rsidRDefault="00476626" w:rsidP="00DE4AF3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Sprawność ≥ 95%. </w:t>
            </w:r>
          </w:p>
          <w:p w:rsidR="00476626" w:rsidRPr="00665AA9" w:rsidRDefault="00476626" w:rsidP="00DE4AF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Zaoferowana wartość sprawności musi zostać potwierdzona w dokumentacji technicznej urządzenia.</w:t>
            </w:r>
          </w:p>
        </w:tc>
        <w:tc>
          <w:tcPr>
            <w:tcW w:w="1584" w:type="dxa"/>
          </w:tcPr>
          <w:p w:rsidR="00476626" w:rsidRPr="00A77ABE" w:rsidRDefault="00476626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17.3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Sprawność: </w:t>
            </w:r>
            <w:r w:rsidRPr="00A77ABE">
              <w:rPr>
                <w:rFonts w:cs="Arial"/>
                <w:b/>
              </w:rPr>
              <w:t>… %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19.</w:t>
            </w:r>
          </w:p>
        </w:tc>
        <w:tc>
          <w:tcPr>
            <w:tcW w:w="5530" w:type="dxa"/>
          </w:tcPr>
          <w:p w:rsidR="00476626" w:rsidRPr="00665AA9" w:rsidRDefault="00476626" w:rsidP="00DE4AF3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Współczynnik mocy ≥ 0,98.</w:t>
            </w:r>
          </w:p>
          <w:p w:rsidR="00476626" w:rsidRPr="00665AA9" w:rsidRDefault="00476626" w:rsidP="00DE4AF3">
            <w:pPr>
              <w:rPr>
                <w:rFonts w:cs="Arial"/>
              </w:rPr>
            </w:pPr>
            <w:r w:rsidRPr="00665AA9">
              <w:rPr>
                <w:rFonts w:cs="Arial"/>
              </w:rPr>
              <w:t xml:space="preserve">Zaoferowana wartość współczynnika mocy musi zostać potwierdzona dokumentacji technicznej urządzenia. </w:t>
            </w:r>
          </w:p>
        </w:tc>
        <w:tc>
          <w:tcPr>
            <w:tcW w:w="1584" w:type="dxa"/>
          </w:tcPr>
          <w:p w:rsidR="00476626" w:rsidRPr="00A77ABE" w:rsidRDefault="00476626" w:rsidP="00DE4AF3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</w:t>
            </w:r>
            <w:r>
              <w:rPr>
                <w:rFonts w:cs="Arial"/>
              </w:rPr>
              <w:t>4</w:t>
            </w:r>
          </w:p>
        </w:tc>
        <w:tc>
          <w:tcPr>
            <w:tcW w:w="2952" w:type="dxa"/>
          </w:tcPr>
          <w:p w:rsidR="00476626" w:rsidRPr="00A77ABE" w:rsidRDefault="00476626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Współczynnik mocy: …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20.</w:t>
            </w:r>
          </w:p>
        </w:tc>
        <w:tc>
          <w:tcPr>
            <w:tcW w:w="5530" w:type="dxa"/>
          </w:tcPr>
          <w:p w:rsidR="00476626" w:rsidRPr="00665AA9" w:rsidRDefault="00302D82" w:rsidP="00CE6632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665AA9">
              <w:rPr>
                <w:rFonts w:cs="Arial"/>
                <w:sz w:val="22"/>
                <w:szCs w:val="22"/>
              </w:rPr>
              <w:t>Nominalny prąd ładowania baterii dla ładowarki podwójnej stacjonarnej o mocy całkowitej ≥ 120 kW (2 x 60 kW) musi być ≥ 240 A (2 x 120 A), a dla ładowarki pojedynczej o mocy całkowitej ≥ 60 kW musi być ≥ 120 A.</w:t>
            </w:r>
          </w:p>
        </w:tc>
        <w:tc>
          <w:tcPr>
            <w:tcW w:w="1584" w:type="dxa"/>
          </w:tcPr>
          <w:p w:rsidR="00476626" w:rsidRPr="00A77ABE" w:rsidRDefault="00476626" w:rsidP="00DE4AF3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</w:t>
            </w:r>
            <w:r>
              <w:rPr>
                <w:rFonts w:cs="Arial"/>
              </w:rPr>
              <w:t>6</w:t>
            </w:r>
          </w:p>
        </w:tc>
        <w:tc>
          <w:tcPr>
            <w:tcW w:w="2952" w:type="dxa"/>
          </w:tcPr>
          <w:p w:rsidR="00476626" w:rsidRDefault="00476626" w:rsidP="00DB081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Nominalny prąd ładowania </w:t>
            </w:r>
            <w:r w:rsidRPr="00DB0810">
              <w:rPr>
                <w:rFonts w:cs="Arial"/>
              </w:rPr>
              <w:t>dla ładowarki podwójnej stacjonarnej =</w:t>
            </w:r>
            <w:r>
              <w:rPr>
                <w:rFonts w:cs="Arial"/>
              </w:rPr>
              <w:br/>
              <w:t xml:space="preserve">2 x …. [A]= </w:t>
            </w:r>
            <w:r w:rsidRPr="00DB0810">
              <w:rPr>
                <w:rFonts w:cs="Arial"/>
              </w:rPr>
              <w:t>……</w:t>
            </w:r>
            <w:r>
              <w:rPr>
                <w:rFonts w:cs="Arial"/>
              </w:rPr>
              <w:t>[</w:t>
            </w:r>
            <w:r w:rsidRPr="00DB0810">
              <w:rPr>
                <w:rFonts w:cs="Arial"/>
              </w:rPr>
              <w:t>A</w:t>
            </w:r>
            <w:r>
              <w:rPr>
                <w:rFonts w:cs="Arial"/>
              </w:rPr>
              <w:t>]</w:t>
            </w:r>
          </w:p>
          <w:p w:rsidR="00476626" w:rsidRPr="00DB0810" w:rsidRDefault="00476626" w:rsidP="00CE66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Nominalny prąd ładowania </w:t>
            </w:r>
            <w:r w:rsidRPr="00DB0810">
              <w:rPr>
                <w:rFonts w:cs="Arial"/>
              </w:rPr>
              <w:t xml:space="preserve">dla ładowarki </w:t>
            </w:r>
            <w:r>
              <w:rPr>
                <w:rFonts w:cs="Arial"/>
              </w:rPr>
              <w:t>mobilnej…. [A]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21.</w:t>
            </w:r>
          </w:p>
        </w:tc>
        <w:tc>
          <w:tcPr>
            <w:tcW w:w="5530" w:type="dxa"/>
          </w:tcPr>
          <w:p w:rsidR="00476626" w:rsidRPr="00665AA9" w:rsidRDefault="00476626" w:rsidP="00A20EA0">
            <w:pPr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 xml:space="preserve">Wymagane jest zamontowanie złącza pantografowego na dachu autobusu, które będzie przystosowane do ładowania za pomocą ładowarek dużej mocy, dostarczonych Zamawiającemu w ramach zamówienia pn. </w:t>
            </w:r>
            <w:r w:rsidRPr="00665AA9">
              <w:rPr>
                <w:rFonts w:cs="Arial"/>
                <w:lang w:eastAsia="pl-PL"/>
              </w:rPr>
              <w:t>„</w:t>
            </w:r>
            <w:r w:rsidRPr="00665AA9">
              <w:rPr>
                <w:rFonts w:cs="Arial"/>
                <w:b/>
                <w:lang w:eastAsia="pl-PL"/>
              </w:rPr>
              <w:t>Zakup i dostawa autobusów elektrycznych wraz z infrastrukturą do ładowania wolnego na zajezdni oraz ładowania szybkiego na przystankach końcowych” (nr sprawy DZ.381.UE-4/19)</w:t>
            </w:r>
            <w:r w:rsidRPr="00665AA9">
              <w:rPr>
                <w:rFonts w:cs="Arial"/>
              </w:rPr>
              <w:t>,</w:t>
            </w:r>
            <w:r w:rsidRPr="00665AA9">
              <w:rPr>
                <w:rFonts w:cs="Arial"/>
                <w:i/>
              </w:rPr>
              <w:t xml:space="preserve">. </w:t>
            </w:r>
            <w:r w:rsidRPr="00665AA9">
              <w:rPr>
                <w:rFonts w:cs="Arial"/>
              </w:rPr>
              <w:t xml:space="preserve">Poprawność współpracy złącza pantografowego zamontowanego na autobusach dostarczonych przez Wykonawcę w ramach niniejszego postępowania, z ładowarkami dostarczonymi w ramach zamówienia pn. </w:t>
            </w:r>
            <w:r w:rsidRPr="00665AA9">
              <w:rPr>
                <w:rFonts w:cs="Arial"/>
                <w:lang w:eastAsia="pl-PL"/>
              </w:rPr>
              <w:t>„</w:t>
            </w:r>
            <w:r w:rsidRPr="00665AA9">
              <w:rPr>
                <w:rFonts w:cs="Arial"/>
                <w:b/>
                <w:lang w:eastAsia="pl-PL"/>
              </w:rPr>
              <w:t>Zakup i dostawa autobusów elektrycznych wraz z infrastrukturą do ładowania wolnego na zajezdni oraz ładowania szybkiego na przystankach końcowych” (nr sprawy DZ.381.UE-4/19)</w:t>
            </w:r>
            <w:r w:rsidRPr="00665AA9">
              <w:rPr>
                <w:rFonts w:cs="Arial"/>
              </w:rPr>
              <w:t xml:space="preserve">, </w:t>
            </w:r>
            <w:r w:rsidRPr="00665AA9">
              <w:rPr>
                <w:rFonts w:cs="Arial"/>
                <w:i/>
              </w:rPr>
              <w:t xml:space="preserve"> </w:t>
            </w:r>
            <w:r w:rsidRPr="00665AA9">
              <w:rPr>
                <w:rFonts w:cs="Arial"/>
              </w:rPr>
              <w:t xml:space="preserve">zostanie poddana sprawdzeniu podczas odbioru technicznego przedmiotu umowy. </w:t>
            </w:r>
          </w:p>
          <w:p w:rsidR="00476626" w:rsidRPr="00665AA9" w:rsidRDefault="00476626" w:rsidP="00A20EA0">
            <w:pPr>
              <w:jc w:val="both"/>
              <w:rPr>
                <w:rFonts w:cs="Arial"/>
                <w:u w:val="single"/>
              </w:rPr>
            </w:pPr>
            <w:r w:rsidRPr="00665AA9">
              <w:rPr>
                <w:rFonts w:cs="Arial"/>
                <w:u w:val="single"/>
              </w:rPr>
              <w:t>Uwaga:</w:t>
            </w:r>
          </w:p>
          <w:p w:rsidR="00476626" w:rsidRPr="00665AA9" w:rsidRDefault="00476626" w:rsidP="00A20EA0">
            <w:pPr>
              <w:tabs>
                <w:tab w:val="left" w:pos="2754"/>
              </w:tabs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Złącze pantografowe, musi być ogólnodostępne dla producentów autobusów elektrycznych na zasadach analogicznych do występujących na rynku głównych podzespołów do autobusów takich jak: silnik, skrzynie przekładniowe, układy zawieszenia, układ pneumatyczny, itp.</w:t>
            </w:r>
          </w:p>
          <w:p w:rsidR="00476626" w:rsidRPr="00665AA9" w:rsidRDefault="00476626" w:rsidP="002045EF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76626" w:rsidRPr="00B60C0D" w:rsidRDefault="00476626" w:rsidP="003D1164">
            <w:pPr>
              <w:jc w:val="center"/>
              <w:rPr>
                <w:rFonts w:cs="Arial"/>
              </w:rPr>
            </w:pPr>
            <w:r w:rsidRPr="00B60C0D">
              <w:rPr>
                <w:rFonts w:cs="Arial"/>
              </w:rPr>
              <w:t>18.1</w:t>
            </w:r>
          </w:p>
        </w:tc>
        <w:tc>
          <w:tcPr>
            <w:tcW w:w="2952" w:type="dxa"/>
          </w:tcPr>
          <w:p w:rsidR="00476626" w:rsidRPr="00B60C0D" w:rsidRDefault="00476626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 xml:space="preserve">Producent </w:t>
            </w:r>
            <w:r w:rsidRPr="00B60C0D">
              <w:rPr>
                <w:rFonts w:cs="Arial"/>
                <w:sz w:val="24"/>
              </w:rPr>
              <w:t>złącza pantografowego</w:t>
            </w:r>
            <w:r w:rsidRPr="00B60C0D">
              <w:rPr>
                <w:rFonts w:cs="Arial"/>
                <w:b/>
                <w:lang w:eastAsia="pl-PL"/>
              </w:rPr>
              <w:t>:…</w:t>
            </w:r>
          </w:p>
          <w:p w:rsidR="00476626" w:rsidRPr="00B60C0D" w:rsidRDefault="00476626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>Typ:…</w:t>
            </w:r>
          </w:p>
          <w:p w:rsidR="00476626" w:rsidRPr="00B60C0D" w:rsidRDefault="00476626" w:rsidP="002045EF">
            <w:pPr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>Model:…</w:t>
            </w:r>
          </w:p>
          <w:p w:rsidR="00476626" w:rsidRPr="00B60C0D" w:rsidRDefault="00476626" w:rsidP="002045EF">
            <w:pPr>
              <w:rPr>
                <w:rFonts w:cs="Arial"/>
                <w:b/>
                <w:lang w:eastAsia="pl-PL"/>
              </w:rPr>
            </w:pPr>
          </w:p>
          <w:p w:rsidR="00476626" w:rsidRPr="00B60C0D" w:rsidRDefault="00476626" w:rsidP="002045EF">
            <w:pPr>
              <w:rPr>
                <w:rFonts w:cs="Arial"/>
              </w:rPr>
            </w:pPr>
            <w:r w:rsidRPr="00B60C0D">
              <w:rPr>
                <w:rFonts w:cs="Arial"/>
                <w:b/>
                <w:lang w:eastAsia="pl-PL"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22.</w:t>
            </w:r>
          </w:p>
        </w:tc>
        <w:tc>
          <w:tcPr>
            <w:tcW w:w="5530" w:type="dxa"/>
          </w:tcPr>
          <w:p w:rsidR="00476626" w:rsidRPr="00665AA9" w:rsidRDefault="00476626" w:rsidP="00A20EA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Konstrukcja szkieletu nadwozia wykonana:</w:t>
            </w:r>
          </w:p>
          <w:p w:rsidR="00476626" w:rsidRPr="00665AA9" w:rsidRDefault="00476626" w:rsidP="00A20EA0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5AA9">
              <w:rPr>
                <w:rFonts w:ascii="Arial" w:eastAsia="Times New Roman" w:hAnsi="Arial" w:cs="Arial"/>
                <w:lang w:eastAsia="pl-PL"/>
              </w:rPr>
              <w:t>ze stali odpornej na korozję – nierdzewnej o parametrach zgodnych z normą PN-EN 10088 lub normą równoważną lub: aluminium, tworzyw sztucznych, ich kompozytów, innych materiałów o porównywalnej odporności na korozję</w:t>
            </w:r>
          </w:p>
          <w:p w:rsidR="00476626" w:rsidRPr="00665AA9" w:rsidRDefault="00476626" w:rsidP="00A20EA0">
            <w:pPr>
              <w:pStyle w:val="Akapitzlist"/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5AA9">
              <w:rPr>
                <w:rFonts w:ascii="Arial" w:eastAsia="Times New Roman" w:hAnsi="Arial" w:cs="Arial"/>
                <w:lang w:eastAsia="pl-PL"/>
              </w:rPr>
              <w:t>lub</w:t>
            </w:r>
          </w:p>
          <w:p w:rsidR="00476626" w:rsidRPr="00665AA9" w:rsidRDefault="00476626" w:rsidP="00A20EA0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5AA9">
              <w:rPr>
                <w:rFonts w:ascii="Arial" w:eastAsia="Times New Roman" w:hAnsi="Arial" w:cs="Arial"/>
                <w:lang w:eastAsia="pl-PL"/>
              </w:rPr>
              <w:t>ze stali konstrukcyjnej o wysokiej wytrzymałości o parametrach zgodnych z normą PN-EN 10025 lub normą równoważną, zabezpieczonej metodą całopojazdowej kataforezy (szkielet nadwozia i podwozie zabezpieczone w jednym procesie technologicznym).</w:t>
            </w:r>
          </w:p>
          <w:p w:rsidR="00476626" w:rsidRPr="00665AA9" w:rsidRDefault="00476626" w:rsidP="00A20EA0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Zamawiający dopuszcza inny sposób zabezpieczenia od kataforezy jednak Wykonawca zobowiązany jest wówczas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19.1</w:t>
            </w:r>
          </w:p>
        </w:tc>
        <w:tc>
          <w:tcPr>
            <w:tcW w:w="2952" w:type="dxa"/>
          </w:tcPr>
          <w:p w:rsidR="00476626" w:rsidRPr="00A77ABE" w:rsidRDefault="00476626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rozwiązania:</w:t>
            </w:r>
          </w:p>
          <w:p w:rsidR="00476626" w:rsidRPr="00A77ABE" w:rsidRDefault="00476626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76626" w:rsidRPr="00A77ABE" w:rsidRDefault="00476626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76626" w:rsidRPr="00A77ABE" w:rsidRDefault="00476626" w:rsidP="00986D17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szkielet nadwozia (nie mniej niż 144 miesiące) ….. miesiące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23.</w:t>
            </w:r>
          </w:p>
        </w:tc>
        <w:tc>
          <w:tcPr>
            <w:tcW w:w="5530" w:type="dxa"/>
          </w:tcPr>
          <w:p w:rsidR="00476626" w:rsidRPr="00665AA9" w:rsidRDefault="00476626" w:rsidP="00A20EA0">
            <w:pPr>
              <w:autoSpaceDE w:val="0"/>
              <w:spacing w:before="120" w:after="12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Lakierowanie zgodnie z kolorystyką Zamawiającego (kolory biały RAL 9016, zielony RAL 6018, czerwony RAL 3020) oraz naniesienie oznakowania graficznego. Logo miasta wykonane metodą ploterową. Dach i obudowy urządzeń zamontowanych na dachu w kolorze uzgodnionym z Zamawiającym (dopuszcza się kolor czerwony, biały lub wykonanie tych powierzchni w sposób niewymagający lakierowania). Okres gwarancji na zewnętrzną powłokę lakierniczą ≥ 60 miesięcy.</w:t>
            </w:r>
          </w:p>
          <w:p w:rsidR="00476626" w:rsidRPr="00665AA9" w:rsidRDefault="00476626" w:rsidP="00A20EA0">
            <w:pPr>
              <w:autoSpaceDE w:val="0"/>
              <w:spacing w:before="120" w:after="12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Wzór malowania (również elementów metalowych wewnątrz pojazdu), rozmieszczenie oznakowania graficznego i sposób jego naniesienia, rozmieszczenie i rodzaj zastosowanych piktogramów zostanie uzgodniony z zamawiającym na etapie realizacji umowy.</w:t>
            </w:r>
          </w:p>
          <w:p w:rsidR="00476626" w:rsidRPr="00665AA9" w:rsidRDefault="00476626" w:rsidP="00836CC8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19.4</w:t>
            </w:r>
          </w:p>
        </w:tc>
        <w:tc>
          <w:tcPr>
            <w:tcW w:w="2952" w:type="dxa"/>
          </w:tcPr>
          <w:p w:rsidR="00476626" w:rsidRPr="00A77ABE" w:rsidRDefault="00476626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476626" w:rsidRPr="00A77ABE" w:rsidRDefault="00476626" w:rsidP="003365F8">
            <w:pPr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zewnętrzną powłokę lakierniczą (nie mniej niż  60 miesięcy): ……miesięcy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24.</w:t>
            </w:r>
          </w:p>
        </w:tc>
        <w:tc>
          <w:tcPr>
            <w:tcW w:w="5530" w:type="dxa"/>
          </w:tcPr>
          <w:p w:rsidR="00476626" w:rsidRPr="00665AA9" w:rsidRDefault="00476626" w:rsidP="00A20EA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>Konstrukcja podwozia (płyty podłogowej, kratownicy, ramy) wykonana:</w:t>
            </w:r>
          </w:p>
          <w:p w:rsidR="00476626" w:rsidRPr="00665AA9" w:rsidRDefault="00476626" w:rsidP="00A20EA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 xml:space="preserve">- ze stali odpornej na korozję – nierdzewnej o parametrach zgodnych z normą PN-EN 10088 lub normą równoważną </w:t>
            </w:r>
          </w:p>
          <w:p w:rsidR="00476626" w:rsidRPr="00665AA9" w:rsidRDefault="00476626" w:rsidP="00A20EA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 xml:space="preserve"> lub</w:t>
            </w:r>
          </w:p>
          <w:p w:rsidR="00476626" w:rsidRPr="00665AA9" w:rsidRDefault="00476626" w:rsidP="00A20EA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 xml:space="preserve">- ze specjalnej stali konstrukcyjnej o wysokiej wytrzymałości o parametrach zgodnych z normą PN-EN 10025 lub normą równoważną zabezpieczonej metodą kataforezy. </w:t>
            </w:r>
          </w:p>
          <w:p w:rsidR="00476626" w:rsidRPr="00665AA9" w:rsidRDefault="00476626" w:rsidP="00A20EA0">
            <w:pPr>
              <w:rPr>
                <w:rFonts w:cs="Arial"/>
              </w:rPr>
            </w:pPr>
            <w:r w:rsidRPr="00665AA9">
              <w:rPr>
                <w:rFonts w:cs="Arial"/>
                <w:lang w:eastAsia="pl-PL"/>
              </w:rPr>
              <w:t>Zamawiający dopuszcza inny sposób zabezpieczenia od kataforezy jednak Wykonawca zobowiązany jest wówczas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20.1</w:t>
            </w:r>
          </w:p>
        </w:tc>
        <w:tc>
          <w:tcPr>
            <w:tcW w:w="2952" w:type="dxa"/>
          </w:tcPr>
          <w:p w:rsidR="00476626" w:rsidRPr="00A77ABE" w:rsidRDefault="00476626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rozwiązania:</w:t>
            </w:r>
          </w:p>
          <w:p w:rsidR="00476626" w:rsidRPr="00A77ABE" w:rsidRDefault="00476626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76626" w:rsidRPr="00A77ABE" w:rsidRDefault="00476626" w:rsidP="00986D17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konstrukcję podw</w:t>
            </w:r>
            <w:r w:rsidRPr="00A77ABE">
              <w:rPr>
                <w:rFonts w:cs="Arial"/>
                <w:lang w:eastAsia="pl-PL"/>
              </w:rPr>
              <w:t xml:space="preserve">ozia (płytę podłogową, kratownicę, ramę)   </w:t>
            </w:r>
            <w:r w:rsidRPr="00A77ABE">
              <w:rPr>
                <w:rFonts w:cs="Arial"/>
                <w:b/>
                <w:lang w:eastAsia="pl-PL"/>
              </w:rPr>
              <w:t>(nie mniej niż 144 miesiące) …..  miesięcy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25.</w:t>
            </w:r>
          </w:p>
        </w:tc>
        <w:tc>
          <w:tcPr>
            <w:tcW w:w="5530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Szyba przednia dzielona w pionie lub jednoczęściowa.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24.1</w:t>
            </w:r>
          </w:p>
        </w:tc>
        <w:tc>
          <w:tcPr>
            <w:tcW w:w="2952" w:type="dxa"/>
          </w:tcPr>
          <w:p w:rsidR="00476626" w:rsidRPr="00A77ABE" w:rsidRDefault="00476626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26.</w:t>
            </w:r>
          </w:p>
        </w:tc>
        <w:tc>
          <w:tcPr>
            <w:tcW w:w="5530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  <w:lang w:eastAsia="pl-PL"/>
              </w:rPr>
              <w:t>Automat biletowy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26</w:t>
            </w:r>
          </w:p>
        </w:tc>
        <w:tc>
          <w:tcPr>
            <w:tcW w:w="2952" w:type="dxa"/>
          </w:tcPr>
          <w:p w:rsidR="00476626" w:rsidRPr="00A77ABE" w:rsidRDefault="00476626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automatu biletowego:….</w:t>
            </w:r>
          </w:p>
          <w:p w:rsidR="00476626" w:rsidRPr="00A77ABE" w:rsidRDefault="00476626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Typ:…</w:t>
            </w:r>
          </w:p>
          <w:p w:rsidR="00476626" w:rsidRPr="00A77ABE" w:rsidRDefault="00476626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  <w:b/>
              </w:rPr>
              <w:t>Model: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27.</w:t>
            </w:r>
          </w:p>
        </w:tc>
        <w:tc>
          <w:tcPr>
            <w:tcW w:w="5530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  <w:lang w:eastAsia="pl-PL"/>
              </w:rPr>
              <w:t>Kasowniki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27</w:t>
            </w:r>
          </w:p>
        </w:tc>
        <w:tc>
          <w:tcPr>
            <w:tcW w:w="2952" w:type="dxa"/>
          </w:tcPr>
          <w:p w:rsidR="00476626" w:rsidRPr="00A77ABE" w:rsidRDefault="00476626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kasownika:….</w:t>
            </w:r>
          </w:p>
          <w:p w:rsidR="00476626" w:rsidRPr="00A77ABE" w:rsidRDefault="00476626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Typ:…</w:t>
            </w:r>
          </w:p>
          <w:p w:rsidR="00476626" w:rsidRPr="00A77ABE" w:rsidRDefault="00476626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28.</w:t>
            </w:r>
          </w:p>
        </w:tc>
        <w:tc>
          <w:tcPr>
            <w:tcW w:w="5530" w:type="dxa"/>
          </w:tcPr>
          <w:p w:rsidR="00476626" w:rsidRPr="00665AA9" w:rsidRDefault="00476626" w:rsidP="00DE7FE7">
            <w:pPr>
              <w:snapToGrid w:val="0"/>
              <w:spacing w:before="120" w:after="120" w:line="240" w:lineRule="atLeast"/>
              <w:jc w:val="both"/>
              <w:rPr>
                <w:rFonts w:cs="Arial"/>
                <w:lang w:eastAsia="pl-PL"/>
              </w:rPr>
            </w:pPr>
            <w:r w:rsidRPr="00665AA9">
              <w:rPr>
                <w:rFonts w:cs="Arial"/>
                <w:lang w:eastAsia="pl-PL"/>
              </w:rPr>
              <w:t xml:space="preserve">Źródłem energii do napędu trakcyjnego muszą być baterie litowo – jonowe przystosowane do eksploatacji w sposób ciągły, w warunkach atmosferycznych występujących w polskiej strefie klimatycznej (przy temperaturze zewnętrznej </w:t>
            </w:r>
            <w:r w:rsidRPr="00665AA9">
              <w:rPr>
                <w:rFonts w:cs="Arial"/>
                <w:b/>
                <w:lang w:eastAsia="pl-PL"/>
              </w:rPr>
              <w:t xml:space="preserve">od -30 </w:t>
            </w:r>
            <w:r w:rsidRPr="00665AA9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665AA9">
              <w:rPr>
                <w:rFonts w:cs="Arial"/>
                <w:b/>
                <w:lang w:eastAsia="pl-PL"/>
              </w:rPr>
              <w:t xml:space="preserve">C do +40 </w:t>
            </w:r>
            <w:r w:rsidRPr="00665AA9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665AA9">
              <w:rPr>
                <w:rFonts w:cs="Arial"/>
                <w:b/>
                <w:lang w:eastAsia="pl-PL"/>
              </w:rPr>
              <w:t>C</w:t>
            </w:r>
            <w:r w:rsidRPr="00665AA9">
              <w:rPr>
                <w:rFonts w:cs="Arial"/>
                <w:lang w:eastAsia="pl-PL"/>
              </w:rPr>
              <w:t>), zgodnie z niżej opisanym cyklem:</w:t>
            </w:r>
          </w:p>
          <w:p w:rsidR="00476626" w:rsidRPr="00665AA9" w:rsidRDefault="00476626" w:rsidP="00DE7FE7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ładowanie wolne na zajezdni od 0 % do 100 % energii dostępnej, o której mowa w pkt 35.4.4. i 35.4.5 niniejszej specyfikacji technicznej, w czasie ≤. 4 h w celu pełnego naładowania i przeprowadzenia balansowania (jeżeli jest konieczne) napięć ogniw i baterii, za pomocą ładowarki małej mocy,</w:t>
            </w:r>
          </w:p>
          <w:p w:rsidR="00476626" w:rsidRPr="00665AA9" w:rsidRDefault="00476626" w:rsidP="00DE7FE7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doładowywanie cykliczne na przystankach końcowych do 100 % energii dostępnej, o której mowa w pkt 35.4.4. i 35.4.5 niniejszej specyfikacji technicznej, w czasie przewidzianym na ładowanie, nie dłuższym niż 12 min. za pomocą ładowarki o mocy znamionowej = 600 kW. Czas ładowania baterii trakcyjnych za pomocą ładowarki o mniejszej mocy będzie trwał proporcjonalnie dłużej.</w:t>
            </w:r>
          </w:p>
          <w:p w:rsidR="00476626" w:rsidRPr="00665AA9" w:rsidRDefault="00476626" w:rsidP="00DE7FE7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długość trasy pokonywanej przez autobus pomiędzy kolejnymi doładowywaniami - 40 km, </w:t>
            </w:r>
          </w:p>
          <w:p w:rsidR="00476626" w:rsidRPr="00665AA9" w:rsidRDefault="00476626" w:rsidP="00DE7FE7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przebiegi autobusu:</w:t>
            </w:r>
          </w:p>
          <w:p w:rsidR="00476626" w:rsidRPr="00665AA9" w:rsidRDefault="00476626" w:rsidP="00DE7FE7">
            <w:pPr>
              <w:pStyle w:val="Akapitzlist"/>
              <w:snapToGrid w:val="0"/>
              <w:spacing w:before="120" w:after="120" w:line="240" w:lineRule="atLeast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- dzienny: 250 km,</w:t>
            </w:r>
          </w:p>
          <w:p w:rsidR="00476626" w:rsidRPr="00665AA9" w:rsidRDefault="00476626" w:rsidP="00DE7FE7">
            <w:pPr>
              <w:pStyle w:val="Akapitzlist"/>
              <w:snapToGrid w:val="0"/>
              <w:spacing w:before="120" w:after="120" w:line="240" w:lineRule="atLeast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- roczny: 60 000 km.</w:t>
            </w:r>
          </w:p>
          <w:p w:rsidR="00476626" w:rsidRPr="00665AA9" w:rsidRDefault="00476626" w:rsidP="00DE7FE7">
            <w:pPr>
              <w:rPr>
                <w:rFonts w:cs="Arial"/>
              </w:rPr>
            </w:pPr>
            <w:r w:rsidRPr="00665AA9">
              <w:rPr>
                <w:rFonts w:cs="Arial"/>
                <w:lang w:eastAsia="pl-PL"/>
              </w:rPr>
              <w:t xml:space="preserve">Zalecane jest zastosowanie do budowy baterii trakcyjnych ogniw elektrochemicznych litowo - jonowych z anodą zawierającą tlenki tytanianu litu, którego udział wagowy w ogniwie stanowi minimum 20 %. W literaturze technicznej oznaczane są symbolem LTO (litowo tytanowo tlenowe). Dopuszcza się zastosowanie innych ogniw, pod warunkiem, że spełnione zostaną </w:t>
            </w:r>
            <w:r w:rsidRPr="00665AA9">
              <w:rPr>
                <w:rFonts w:cs="Arial"/>
                <w:b/>
                <w:lang w:eastAsia="pl-PL"/>
              </w:rPr>
              <w:t>wszystkie</w:t>
            </w:r>
            <w:r w:rsidRPr="00665AA9">
              <w:rPr>
                <w:rFonts w:cs="Arial"/>
                <w:lang w:eastAsia="pl-PL"/>
              </w:rPr>
              <w:t xml:space="preserve"> wymagania określone w punkcie 35 niniejszej specyfikacji technicznej.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35.1</w:t>
            </w:r>
          </w:p>
        </w:tc>
        <w:tc>
          <w:tcPr>
            <w:tcW w:w="2952" w:type="dxa"/>
          </w:tcPr>
          <w:p w:rsidR="00476626" w:rsidRPr="00A77ABE" w:rsidRDefault="00476626" w:rsidP="00D44AA1">
            <w:pPr>
              <w:snapToGrid w:val="0"/>
              <w:spacing w:before="120" w:after="120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ogniw elektrochemicznych: …</w:t>
            </w:r>
          </w:p>
          <w:p w:rsidR="00476626" w:rsidRPr="00A77ABE" w:rsidRDefault="00476626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76626" w:rsidRPr="00A77ABE" w:rsidRDefault="00476626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 …</w:t>
            </w:r>
          </w:p>
          <w:p w:rsidR="00476626" w:rsidRPr="00A77ABE" w:rsidRDefault="00476626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Rodzaj ogniw elektrochemicznych (na przykład: LTO, NMC, itd.) …………</w:t>
            </w:r>
          </w:p>
          <w:p w:rsidR="00476626" w:rsidRPr="00A77ABE" w:rsidRDefault="00476626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</w:p>
          <w:p w:rsidR="00476626" w:rsidRPr="00A77ABE" w:rsidRDefault="00476626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baterii trakcyjnych: …</w:t>
            </w:r>
          </w:p>
          <w:p w:rsidR="00476626" w:rsidRPr="00A77ABE" w:rsidRDefault="00476626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76626" w:rsidRPr="00A77ABE" w:rsidRDefault="00476626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 …</w:t>
            </w:r>
          </w:p>
          <w:p w:rsidR="00476626" w:rsidRPr="00A77ABE" w:rsidRDefault="00476626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rozwiązania:</w:t>
            </w:r>
          </w:p>
        </w:tc>
      </w:tr>
      <w:tr w:rsidR="00476626" w:rsidRPr="00A77ABE" w:rsidTr="004A7FC7">
        <w:tc>
          <w:tcPr>
            <w:tcW w:w="566" w:type="dxa"/>
          </w:tcPr>
          <w:p w:rsidR="00476626" w:rsidRPr="00665AA9" w:rsidRDefault="00476626" w:rsidP="00E30CB7">
            <w:pPr>
              <w:rPr>
                <w:rFonts w:cs="Arial"/>
              </w:rPr>
            </w:pPr>
            <w:r w:rsidRPr="00665AA9">
              <w:rPr>
                <w:rFonts w:cs="Arial"/>
              </w:rPr>
              <w:t>29.</w:t>
            </w:r>
          </w:p>
        </w:tc>
        <w:tc>
          <w:tcPr>
            <w:tcW w:w="5530" w:type="dxa"/>
          </w:tcPr>
          <w:p w:rsidR="001060CB" w:rsidRPr="00665AA9" w:rsidRDefault="001060CB" w:rsidP="001060CB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665AA9">
              <w:rPr>
                <w:rFonts w:cs="Arial"/>
              </w:rPr>
              <w:t>Parametry baterii  trakcyjnych i ogniw elektrochemicznych: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Pojemność energetyczna nominalna 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</w:t>
            </w:r>
            <w:r w:rsidRPr="00665AA9">
              <w:rPr>
                <w:rFonts w:ascii="Arial" w:hAnsi="Arial" w:cs="Arial"/>
                <w:lang w:eastAsia="pl-PL"/>
              </w:rPr>
              <w:t xml:space="preserve"> musi być ≥ 150  kWh.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>Napięcie pracy baterii musi mieścić się w granicach. od 400 do 780 V DC.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ar-SA"/>
              </w:rPr>
              <w:t xml:space="preserve">Wykonane z ogniw elektrochemicznych, których charakterystyka pozwala na obciążanie ich w rzeczywistych warunkach eksploatacyjnych, podczas ładowania i rozładowywania prądami o wartościach umożliwiających spełnienie wszystkich wymagań i parametrów określonych w pkt 35 niniejszej specyfikacji technicznej autobusów EV stanowiących zał. nr 1 do siwz. Zaleca się, żeby konstrukcja </w:t>
            </w:r>
            <w:r w:rsidRPr="00665AA9">
              <w:rPr>
                <w:rFonts w:ascii="Arial" w:hAnsi="Arial" w:cs="Arial"/>
                <w:lang w:eastAsia="pl-PL"/>
              </w:rPr>
              <w:t xml:space="preserve">ogniw elektrochemicznych umożliwiała obciążanie ich </w:t>
            </w:r>
            <w:r w:rsidRPr="00665AA9">
              <w:rPr>
                <w:rFonts w:ascii="Arial" w:hAnsi="Arial" w:cs="Arial"/>
              </w:rPr>
              <w:t>maksymalnym ciągłym prądem ładowania i rozładowania (I</w:t>
            </w:r>
            <w:r w:rsidRPr="00665AA9">
              <w:rPr>
                <w:rFonts w:ascii="Arial" w:hAnsi="Arial" w:cs="Arial"/>
                <w:vertAlign w:val="subscript"/>
              </w:rPr>
              <w:t>maxc</w:t>
            </w:r>
            <w:r w:rsidRPr="00665AA9">
              <w:rPr>
                <w:rFonts w:ascii="Arial" w:hAnsi="Arial" w:cs="Arial"/>
              </w:rPr>
              <w:t>) ≥ 4 C, a chwilowym (10 sekundowym) (I</w:t>
            </w:r>
            <w:r w:rsidRPr="00665AA9">
              <w:rPr>
                <w:rFonts w:ascii="Arial" w:hAnsi="Arial" w:cs="Arial"/>
                <w:vertAlign w:val="subscript"/>
              </w:rPr>
              <w:t>maxch</w:t>
            </w:r>
            <w:r w:rsidRPr="00665AA9">
              <w:rPr>
                <w:rFonts w:ascii="Arial" w:hAnsi="Arial" w:cs="Arial"/>
              </w:rPr>
              <w:t>) ≥ 8 C, gdzie C oznacza wartość natężenia prądu 1 godzinnego ogniwa.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Podczas zasilania układu napędowego w autobusie, energia dostępna z baterii trakcyjnych - 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bD</w:t>
            </w:r>
            <w:r w:rsidRPr="00665AA9">
              <w:rPr>
                <w:rFonts w:ascii="Arial" w:hAnsi="Arial" w:cs="Arial"/>
                <w:lang w:eastAsia="pl-PL"/>
              </w:rPr>
              <w:t xml:space="preserve"> = 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</w:t>
            </w:r>
            <w:r w:rsidRPr="00665AA9">
              <w:rPr>
                <w:rFonts w:ascii="Arial" w:hAnsi="Arial" w:cs="Arial"/>
                <w:lang w:eastAsia="pl-PL"/>
              </w:rPr>
              <w:t xml:space="preserve"> x sprawność baterii. Sprawność baterii trakcyjnych - SB musi być ≥ 95 %, podczas badania przeprowadzonego zgodnie z poniższą procedurą.</w:t>
            </w:r>
          </w:p>
          <w:p w:rsidR="001060CB" w:rsidRPr="00665AA9" w:rsidRDefault="001060CB" w:rsidP="001060CB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>Procedurę tę należy traktować jako propozycję badania baterii trakcyjnej (testu), która może ulec modyfikacji: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temperatura badania: od +20 </w:t>
            </w:r>
            <w:r w:rsidRPr="00665AA9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665AA9">
              <w:rPr>
                <w:rFonts w:ascii="Arial" w:hAnsi="Arial" w:cs="Arial"/>
                <w:lang w:eastAsia="pl-PL"/>
              </w:rPr>
              <w:t xml:space="preserve">C do +30 </w:t>
            </w:r>
            <w:r w:rsidRPr="00665AA9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665AA9">
              <w:rPr>
                <w:rFonts w:ascii="Arial" w:hAnsi="Arial" w:cs="Arial"/>
                <w:lang w:eastAsia="pl-PL"/>
              </w:rPr>
              <w:t xml:space="preserve">C, 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ciśnienie badania – atmosferyczne,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>naładowanie baterii do stanu pełnego naładowania. Energia zgromadzona w baterii musi być równa pojemności energetycznej nominalnej -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b,</w:t>
            </w:r>
            <w:r w:rsidRPr="00665AA9">
              <w:rPr>
                <w:rFonts w:ascii="Arial" w:hAnsi="Arial" w:cs="Arial"/>
                <w:lang w:eastAsia="pl-PL"/>
              </w:rPr>
              <w:t xml:space="preserve"> zaoferowanej przez Wykonawcę,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rozładowanie baterii prądem o natężeniu równym 1C, gdzie C oznacza pojemność elektryczną baterii w Ah, musi pozwolić uzyskać energię podczas rozładowywania 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bD</w:t>
            </w:r>
            <w:r w:rsidRPr="00665AA9">
              <w:rPr>
                <w:rFonts w:ascii="Arial" w:hAnsi="Arial" w:cs="Arial"/>
                <w:lang w:eastAsia="pl-PL"/>
              </w:rPr>
              <w:t xml:space="preserve"> = </w:t>
            </w:r>
            <w:r w:rsidRPr="00665AA9">
              <w:rPr>
                <w:rFonts w:ascii="Arial" w:eastAsia="TimesNewRomanPSMT" w:hAnsi="Arial" w:cs="Arial"/>
              </w:rPr>
              <w:t>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>b</w:t>
            </w:r>
            <w:r w:rsidRPr="00665AA9">
              <w:rPr>
                <w:rFonts w:ascii="Arial" w:hAnsi="Arial" w:cs="Arial"/>
                <w:lang w:eastAsia="pl-PL"/>
              </w:rPr>
              <w:t xml:space="preserve"> x sprawność baterii.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b/>
              </w:rPr>
              <w:t>Zalecane</w:t>
            </w:r>
            <w:r w:rsidRPr="00665AA9">
              <w:rPr>
                <w:rFonts w:ascii="Arial" w:hAnsi="Arial" w:cs="Arial"/>
                <w:lang w:eastAsia="pl-PL"/>
              </w:rPr>
              <w:t xml:space="preserve"> jest ograniczenie programowe energii dostępnej do wartości równej 0,8</w:t>
            </w:r>
            <w:r w:rsidRPr="00665AA9">
              <w:rPr>
                <w:rFonts w:ascii="Arial" w:eastAsia="TimesNewRomanPSMT" w:hAnsi="Arial" w:cs="Arial"/>
              </w:rPr>
              <w:t xml:space="preserve"> x PE</w:t>
            </w:r>
            <w:r w:rsidRPr="00665AA9">
              <w:rPr>
                <w:rFonts w:ascii="Arial" w:eastAsia="TimesNewRomanPSMT" w:hAnsi="Arial" w:cs="Arial"/>
                <w:vertAlign w:val="subscript"/>
              </w:rPr>
              <w:t xml:space="preserve">b, </w:t>
            </w:r>
            <w:r w:rsidRPr="00665AA9">
              <w:rPr>
                <w:rFonts w:ascii="Arial" w:eastAsia="TimesNewRomanPSMT" w:hAnsi="Arial" w:cs="Arial"/>
              </w:rPr>
              <w:t>w celu wydłużenia żywotności baterii, przy równoczesnej możliwości głębszego ich rozładowania w sytuacjach awaryjnych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ar-SA"/>
              </w:rPr>
              <w:t>Ogniwa elektrochemiczne powinny być łączone ze sobą poprzez spawanie laserowe w ramach jednego modułu, który stanowi połączony trwale podstawowy element wymienny ogniw baterii. Moduły natomiast muszą być łączone ze sobą w sposób umożliwiający wymianę jednego modułu oraz zabezpieczone przed poluzowywaniem się połączeń w trakcie eksploatacji.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Konstrukcja baterii musi zapewniać eksploatację autobusu bez ograniczeń w skrajnych warunkach atmosferycznych, przy temp. zewnętrznej od -30 </w:t>
            </w:r>
            <w:r w:rsidRPr="00665AA9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665AA9">
              <w:rPr>
                <w:rFonts w:ascii="Arial" w:hAnsi="Arial" w:cs="Arial"/>
                <w:lang w:eastAsia="pl-PL"/>
              </w:rPr>
              <w:t xml:space="preserve">C do +40 </w:t>
            </w:r>
            <w:r w:rsidRPr="00665AA9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665AA9">
              <w:rPr>
                <w:rFonts w:ascii="Arial" w:hAnsi="Arial" w:cs="Arial"/>
                <w:lang w:eastAsia="pl-PL"/>
              </w:rPr>
              <w:t xml:space="preserve">C, przy sposobie użytkowania opisanym w pkt. 35.1. Wykonawca musi przewidzieć konieczność zastosowania układów ogrzewania lub chłodzenia baterii. 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hAnsi="Arial" w:cs="Arial"/>
                <w:lang w:eastAsia="pl-PL"/>
              </w:rPr>
              <w:t xml:space="preserve">Gwarancja na baterie trakcyjne oraz wymagania dotyczące stanu baterii w okresie udzielonej gwarancji. </w:t>
            </w:r>
          </w:p>
          <w:p w:rsidR="001060CB" w:rsidRPr="00665AA9" w:rsidRDefault="001060CB" w:rsidP="001060CB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eastAsia="TimesNewRomanPSMT" w:hAnsi="Arial" w:cs="Arial"/>
              </w:rPr>
            </w:pPr>
            <w:r w:rsidRPr="00665AA9">
              <w:rPr>
                <w:rFonts w:ascii="Arial" w:eastAsia="TimesNewRomanPSMT" w:hAnsi="Arial" w:cs="Arial"/>
              </w:rPr>
              <w:t>Zamawiający wymaga udzielenia przez Wykonawcę gwarancji na baterie trakcyjne zdefiniowanej poprzez: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/>
              <w:jc w:val="both"/>
              <w:rPr>
                <w:rFonts w:ascii="Arial" w:eastAsia="TimesNewRomanPSMT" w:hAnsi="Arial" w:cs="Arial"/>
              </w:rPr>
            </w:pPr>
            <w:r w:rsidRPr="00665AA9">
              <w:rPr>
                <w:rFonts w:ascii="Arial" w:eastAsia="TimesNewRomanPSMT" w:hAnsi="Arial" w:cs="Arial"/>
              </w:rPr>
              <w:t>okres gwarancji wyrażony w pełnych miesiącach</w:t>
            </w:r>
          </w:p>
          <w:p w:rsidR="001060CB" w:rsidRPr="00665AA9" w:rsidRDefault="001060CB" w:rsidP="001060CB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/>
              <w:jc w:val="both"/>
              <w:rPr>
                <w:rFonts w:ascii="Arial" w:eastAsia="TimesNewRomanPSMT" w:hAnsi="Arial" w:cs="Arial"/>
              </w:rPr>
            </w:pPr>
            <w:r w:rsidRPr="00665AA9">
              <w:rPr>
                <w:rFonts w:ascii="Arial" w:eastAsia="TimesNewRomanPSMT" w:hAnsi="Arial" w:cs="Arial"/>
              </w:rPr>
              <w:t>żywotność baterii</w:t>
            </w:r>
          </w:p>
          <w:p w:rsidR="001060CB" w:rsidRPr="00665AA9" w:rsidRDefault="001060CB" w:rsidP="001060CB">
            <w:pPr>
              <w:pStyle w:val="Akapitzlist"/>
              <w:snapToGrid w:val="0"/>
              <w:spacing w:before="120" w:after="120"/>
              <w:ind w:left="923"/>
              <w:jc w:val="both"/>
              <w:rPr>
                <w:rFonts w:ascii="Arial" w:eastAsia="TimesNewRomanPSMT" w:hAnsi="Arial" w:cs="Arial"/>
                <w:b/>
              </w:rPr>
            </w:pPr>
            <w:r w:rsidRPr="00665AA9">
              <w:rPr>
                <w:rFonts w:ascii="Arial" w:eastAsia="TimesNewRomanPSMT" w:hAnsi="Arial" w:cs="Arial"/>
                <w:b/>
              </w:rPr>
              <w:t xml:space="preserve">Okres trwania gwarancji równy jest co najmniej zaoferowanemu okresowi gwarancji wyrażonemu w pełnych miesiącach, który musi być ≥ 60, z zastrzeżeniem, że podlega on wydłużeniu do czasu osiągnięcia przez baterie trakcyjne żywotności zaoferowanej przez Wykonawcę, jednak nie dłużej niż 84 miesiące, chyba że Wykonawca zaoferuje dłuższy okres gwarancji. </w:t>
            </w:r>
          </w:p>
          <w:p w:rsidR="001060CB" w:rsidRPr="00665AA9" w:rsidRDefault="001060CB" w:rsidP="001060CB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eastAsia="TimesNewRomanPSMT" w:hAnsi="Arial" w:cs="Arial"/>
              </w:rPr>
            </w:pPr>
            <w:r w:rsidRPr="00665AA9">
              <w:rPr>
                <w:rFonts w:ascii="Arial" w:eastAsia="TimesNewRomanPSMT" w:hAnsi="Arial" w:cs="Arial"/>
                <w:b/>
              </w:rPr>
              <w:t>Definicja żywotności baterii oznaczonej symbolem – ŻB</w:t>
            </w:r>
            <w:r w:rsidRPr="00665AA9">
              <w:rPr>
                <w:rFonts w:ascii="Arial" w:eastAsia="TimesNewRomanPSMT" w:hAnsi="Arial" w:cs="Arial"/>
              </w:rPr>
              <w:t xml:space="preserve"> </w:t>
            </w:r>
          </w:p>
          <w:p w:rsidR="001060CB" w:rsidRPr="00665AA9" w:rsidRDefault="001060CB" w:rsidP="001060CB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hAnsi="Arial" w:cs="Arial"/>
                <w:lang w:eastAsia="ar-SA"/>
              </w:rPr>
            </w:pPr>
            <w:r w:rsidRPr="00665AA9">
              <w:rPr>
                <w:rFonts w:ascii="Arial" w:eastAsia="TimesNewRomanPSMT" w:hAnsi="Arial" w:cs="Arial"/>
              </w:rPr>
              <w:t>Jest to ilości energii dostarczonej do baterii trakcyjnych w procesie ładowania ładowarkami dużej i małej mocy w okresie gwarancji  udzielonej przez Wykonawcę. Zaoferowana przez Wykonawcę wartość żywotności baterii nie może być niższa od obliczonej zgodnie z poniższym wzorem:</w:t>
            </w:r>
          </w:p>
          <w:p w:rsidR="001060CB" w:rsidRPr="00665AA9" w:rsidRDefault="001060CB" w:rsidP="001060CB">
            <w:pPr>
              <w:widowControl w:val="0"/>
              <w:tabs>
                <w:tab w:val="left" w:pos="709"/>
              </w:tabs>
              <w:autoSpaceDN w:val="0"/>
              <w:spacing w:before="120" w:after="120"/>
              <w:ind w:left="781"/>
              <w:contextualSpacing/>
              <w:jc w:val="both"/>
              <w:textAlignment w:val="baseline"/>
              <w:rPr>
                <w:rFonts w:cs="Arial"/>
                <w:bCs/>
              </w:rPr>
            </w:pPr>
            <w:r w:rsidRPr="00665AA9">
              <w:rPr>
                <w:rFonts w:eastAsia="TimesNewRomanPSMT" w:cs="Arial"/>
              </w:rPr>
              <w:t>ŻB = Mze x G</w:t>
            </w:r>
            <w:r w:rsidRPr="00665AA9">
              <w:rPr>
                <w:rFonts w:eastAsia="TimesNewRomanPSMT" w:cs="Arial"/>
                <w:vertAlign w:val="subscript"/>
              </w:rPr>
              <w:t>bof</w:t>
            </w:r>
          </w:p>
          <w:p w:rsidR="001060CB" w:rsidRPr="00261161" w:rsidRDefault="001060CB" w:rsidP="001060CB">
            <w:pPr>
              <w:widowControl w:val="0"/>
              <w:tabs>
                <w:tab w:val="left" w:pos="709"/>
              </w:tabs>
              <w:autoSpaceDN w:val="0"/>
              <w:spacing w:before="120" w:after="12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r w:rsidRPr="00261161">
              <w:rPr>
                <w:rFonts w:eastAsia="TimesNewRomanPSMT" w:cs="Arial"/>
              </w:rPr>
              <w:t>gdzie</w:t>
            </w:r>
          </w:p>
          <w:p w:rsidR="001060CB" w:rsidRPr="00261161" w:rsidRDefault="001060CB" w:rsidP="001060CB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</w:rPr>
            </w:pPr>
            <w:r w:rsidRPr="00261161">
              <w:rPr>
                <w:rFonts w:ascii="Arial" w:eastAsia="TimesNewRomanPSMT" w:hAnsi="Arial" w:cs="Arial"/>
              </w:rPr>
              <w:t>ŻB oznacza żywotność baterii w [kWh]</w:t>
            </w:r>
          </w:p>
          <w:p w:rsidR="001060CB" w:rsidRPr="00261161" w:rsidRDefault="001060CB" w:rsidP="001060CB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</w:rPr>
            </w:pPr>
            <w:r w:rsidRPr="00261161">
              <w:rPr>
                <w:rFonts w:ascii="Arial" w:eastAsia="TimesNewRomanPSMT" w:hAnsi="Arial" w:cs="Arial"/>
              </w:rPr>
              <w:t xml:space="preserve">Mze oznacza założone przez Zamawiającego miesięczne zużycie energii przez autobus elektryczny równe </w:t>
            </w:r>
            <w:r w:rsidRPr="00261161">
              <w:rPr>
                <w:rFonts w:ascii="Arial" w:eastAsiaTheme="minorHAnsi" w:hAnsi="Arial" w:cs="Arial"/>
              </w:rPr>
              <w:t>15 000 [kWh/miesiąc]     (60 000 km x 3 kWh/km/12)</w:t>
            </w:r>
          </w:p>
          <w:p w:rsidR="001060CB" w:rsidRPr="00261161" w:rsidRDefault="001060CB" w:rsidP="001060CB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</w:rPr>
            </w:pPr>
            <w:r w:rsidRPr="00261161">
              <w:rPr>
                <w:rFonts w:ascii="Arial" w:eastAsia="TimesNewRomanPSMT" w:hAnsi="Arial" w:cs="Arial"/>
              </w:rPr>
              <w:t>G</w:t>
            </w:r>
            <w:r w:rsidRPr="00261161">
              <w:rPr>
                <w:rFonts w:ascii="Arial" w:eastAsia="TimesNewRomanPSMT" w:hAnsi="Arial" w:cs="Arial"/>
                <w:vertAlign w:val="subscript"/>
              </w:rPr>
              <w:t>bof</w:t>
            </w:r>
            <w:r w:rsidRPr="00261161">
              <w:rPr>
                <w:rFonts w:ascii="Arial" w:eastAsia="TimesNewRomanPSMT" w:hAnsi="Arial" w:cs="Arial"/>
              </w:rPr>
              <w:t xml:space="preserve"> – zaoferowany przez wykonawcę okres gwarancji na </w:t>
            </w:r>
            <w:r w:rsidRPr="00261161">
              <w:rPr>
                <w:rFonts w:ascii="Arial" w:hAnsi="Arial" w:cs="Arial"/>
              </w:rPr>
              <w:t>baterie trakcyjne</w:t>
            </w:r>
            <w:r w:rsidRPr="00261161">
              <w:rPr>
                <w:rFonts w:ascii="Arial" w:eastAsia="TimesNewRomanPSMT" w:hAnsi="Arial" w:cs="Arial"/>
              </w:rPr>
              <w:t xml:space="preserve"> EV podany w pełnych miesiącach.</w:t>
            </w:r>
          </w:p>
          <w:p w:rsidR="00476626" w:rsidRPr="00665AA9" w:rsidRDefault="001060CB" w:rsidP="001060CB">
            <w:pPr>
              <w:rPr>
                <w:rFonts w:cs="Arial"/>
              </w:rPr>
            </w:pPr>
            <w:r w:rsidRPr="00665AA9">
              <w:rPr>
                <w:rFonts w:cs="Arial"/>
              </w:rPr>
              <w:t xml:space="preserve"> W okresie udzielonej gwarancji </w:t>
            </w:r>
            <w:r w:rsidRPr="00665AA9">
              <w:rPr>
                <w:rFonts w:cs="Arial"/>
                <w:lang w:eastAsia="pl-PL"/>
              </w:rPr>
              <w:t>spadek nominalnej pojemności energetycznej baterii -</w:t>
            </w:r>
            <w:r w:rsidRPr="00665AA9">
              <w:rPr>
                <w:rFonts w:eastAsia="TimesNewRomanPSMT" w:cs="Arial"/>
              </w:rPr>
              <w:t>PE</w:t>
            </w:r>
            <w:r w:rsidRPr="00665AA9">
              <w:rPr>
                <w:rFonts w:eastAsia="TimesNewRomanPSMT" w:cs="Arial"/>
                <w:vertAlign w:val="subscript"/>
              </w:rPr>
              <w:t>b</w:t>
            </w:r>
            <w:r w:rsidRPr="00665AA9">
              <w:rPr>
                <w:rFonts w:cs="Arial"/>
                <w:lang w:eastAsia="pl-PL"/>
              </w:rPr>
              <w:t xml:space="preserve">  musi być &lt; 20% w odniesieniu do zaoferowanej w pkt 29</w:t>
            </w:r>
            <w:r w:rsidRPr="00665AA9">
              <w:rPr>
                <w:rFonts w:cs="Arial"/>
              </w:rPr>
              <w:t xml:space="preserve"> Załącznika nr 9 do s.i.w.z.- „Podstawowe informacje o oferowanym przedmiocie zamówienia”</w:t>
            </w:r>
            <w:r w:rsidRPr="00665AA9">
              <w:rPr>
                <w:rFonts w:cs="Arial"/>
                <w:lang w:eastAsia="pl-PL"/>
              </w:rPr>
              <w:t xml:space="preserve"> lub oporność wewnętrzna baterii nie może wzrosnąć więcej niż 2- krotnie w porównaniu do początkowej podanej w pkt 29</w:t>
            </w:r>
            <w:r w:rsidRPr="00665AA9">
              <w:rPr>
                <w:rFonts w:cs="Arial"/>
              </w:rPr>
              <w:t xml:space="preserve"> Załącznika nr 9 do s.i.w.z.- „Podstawowe informacje o oferowanym przedmiocie zamówienia”.</w:t>
            </w:r>
          </w:p>
        </w:tc>
        <w:tc>
          <w:tcPr>
            <w:tcW w:w="1584" w:type="dxa"/>
          </w:tcPr>
          <w:p w:rsidR="00476626" w:rsidRPr="00A77ABE" w:rsidRDefault="00476626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35.4</w:t>
            </w:r>
          </w:p>
        </w:tc>
        <w:tc>
          <w:tcPr>
            <w:tcW w:w="2952" w:type="dxa"/>
          </w:tcPr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A77ABE">
              <w:rPr>
                <w:rFonts w:cs="Arial"/>
                <w:b/>
                <w:u w:val="single"/>
              </w:rPr>
              <w:t>Parametry baterii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eastAsia="TimesNewRomanPSMT"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Pojemność energetyczna nominalna </w:t>
            </w:r>
            <w:r>
              <w:rPr>
                <w:rFonts w:cs="Arial"/>
                <w:b/>
                <w:lang w:eastAsia="pl-PL"/>
              </w:rPr>
              <w:t xml:space="preserve">baterii </w:t>
            </w:r>
            <w:r w:rsidRPr="00A77ABE">
              <w:rPr>
                <w:rFonts w:eastAsia="TimesNewRomanPSMT" w:cs="Arial"/>
                <w:b/>
              </w:rPr>
              <w:t>PE</w:t>
            </w:r>
            <w:r w:rsidRPr="00A77ABE">
              <w:rPr>
                <w:rFonts w:eastAsia="TimesNewRomanPSMT" w:cs="Arial"/>
                <w:b/>
                <w:vertAlign w:val="subscript"/>
              </w:rPr>
              <w:t>b</w:t>
            </w:r>
            <w:r w:rsidRPr="00A77ABE">
              <w:rPr>
                <w:rFonts w:eastAsia="TimesNewRomanPSMT" w:cs="Arial"/>
                <w:b/>
              </w:rPr>
              <w:t>:…[kWh]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Napięcie pracy baterii: od…[V] do ……[V]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>Pojemność całkowita baterii trakcyjnych</w:t>
            </w:r>
            <w:r w:rsidRPr="00A77ABE">
              <w:rPr>
                <w:rFonts w:cs="Arial"/>
                <w:b/>
              </w:rPr>
              <w:t>: … Ah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Sprawność baterii: … %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bCs/>
                <w:shd w:val="clear" w:color="auto" w:fill="FFFFFF"/>
              </w:rPr>
            </w:pPr>
            <w:r w:rsidRPr="00A77ABE">
              <w:rPr>
                <w:rFonts w:cs="Arial"/>
                <w:b/>
              </w:rPr>
              <w:t xml:space="preserve">Oporność wewnętrzna </w:t>
            </w:r>
            <w:r w:rsidRPr="00A77ABE">
              <w:rPr>
                <w:rFonts w:cs="Arial"/>
                <w:b/>
                <w:lang w:eastAsia="pl-PL"/>
              </w:rPr>
              <w:t>całkowita baterii trakcyjnych</w:t>
            </w:r>
            <w:r w:rsidRPr="00A77ABE">
              <w:rPr>
                <w:rFonts w:cs="Arial"/>
                <w:b/>
              </w:rPr>
              <w:t xml:space="preserve">:… </w:t>
            </w:r>
            <w:r w:rsidRPr="00A77ABE">
              <w:rPr>
                <w:rFonts w:cs="Arial"/>
                <w:b/>
                <w:bCs/>
                <w:shd w:val="clear" w:color="auto" w:fill="FFFFFF"/>
              </w:rPr>
              <w:t>Ω</w:t>
            </w:r>
          </w:p>
          <w:p w:rsidR="00476626" w:rsidRPr="00A77ABE" w:rsidRDefault="00476626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Okres gwarancji na baterie trakcyjne EV (minimum 60 miesięcy): …..</w:t>
            </w:r>
            <w:r w:rsidRPr="00A77ABE">
              <w:rPr>
                <w:rFonts w:cs="Arial"/>
                <w:b/>
                <w:lang w:eastAsia="pl-PL"/>
              </w:rPr>
              <w:t xml:space="preserve"> miesięcy</w:t>
            </w:r>
          </w:p>
          <w:p w:rsidR="00476626" w:rsidRPr="00A77ABE" w:rsidRDefault="00476626" w:rsidP="00E30CB7">
            <w:pPr>
              <w:rPr>
                <w:rFonts w:cs="Arial"/>
                <w:b/>
              </w:rPr>
            </w:pPr>
            <w:r w:rsidRPr="00A77ABE">
              <w:rPr>
                <w:rFonts w:eastAsia="TimesNewRomanPSMT" w:cs="Arial"/>
                <w:b/>
                <w:bCs/>
              </w:rPr>
              <w:t>Żywotność baterii w okresie gwarancji – ŻB</w:t>
            </w:r>
            <w:r w:rsidRPr="00A77ABE">
              <w:rPr>
                <w:rFonts w:cs="Arial"/>
                <w:b/>
              </w:rPr>
              <w:t xml:space="preserve"> :    … [kWh]</w:t>
            </w:r>
          </w:p>
          <w:p w:rsidR="00476626" w:rsidRPr="00A77ABE" w:rsidRDefault="00476626" w:rsidP="00087701">
            <w:pPr>
              <w:rPr>
                <w:rFonts w:cs="Arial"/>
              </w:rPr>
            </w:pPr>
          </w:p>
          <w:p w:rsidR="00476626" w:rsidRPr="00567FE9" w:rsidRDefault="00476626" w:rsidP="00087701">
            <w:pPr>
              <w:rPr>
                <w:rFonts w:cs="Arial"/>
                <w:b/>
                <w:u w:val="single"/>
              </w:rPr>
            </w:pPr>
            <w:r w:rsidRPr="00567FE9">
              <w:rPr>
                <w:rFonts w:cs="Arial"/>
                <w:b/>
                <w:u w:val="single"/>
              </w:rPr>
              <w:t>Parametry ogniwa elektrochemicznego</w:t>
            </w:r>
          </w:p>
          <w:p w:rsidR="00476626" w:rsidRPr="00A77ABE" w:rsidRDefault="00476626" w:rsidP="00087701">
            <w:pPr>
              <w:rPr>
                <w:rFonts w:cs="Arial"/>
              </w:rPr>
            </w:pPr>
          </w:p>
          <w:p w:rsidR="00476626" w:rsidRPr="00A77ABE" w:rsidRDefault="00476626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Pojemność ogniwa elektrochemicznego: …[Ah]</w:t>
            </w:r>
          </w:p>
          <w:p w:rsidR="00476626" w:rsidRPr="00A77ABE" w:rsidRDefault="00476626" w:rsidP="00087701">
            <w:pPr>
              <w:rPr>
                <w:rFonts w:cs="Arial"/>
                <w:b/>
              </w:rPr>
            </w:pPr>
          </w:p>
          <w:p w:rsidR="00476626" w:rsidRPr="00A77ABE" w:rsidRDefault="00476626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ciągły prąd ładowania i rozładowania (I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r w:rsidRPr="00A77ABE">
              <w:rPr>
                <w:rFonts w:cs="Arial"/>
                <w:b/>
              </w:rPr>
              <w:t>):….[A]</w:t>
            </w:r>
          </w:p>
          <w:p w:rsidR="00476626" w:rsidRPr="00A77ABE" w:rsidRDefault="00476626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chwilowy prąd ładowania i rozładowania (I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r w:rsidRPr="00A77ABE">
              <w:rPr>
                <w:rFonts w:cs="Arial"/>
                <w:b/>
              </w:rPr>
              <w:t>):….[A]</w:t>
            </w:r>
          </w:p>
          <w:p w:rsidR="00476626" w:rsidRPr="00A77ABE" w:rsidRDefault="00476626" w:rsidP="00087701">
            <w:pPr>
              <w:rPr>
                <w:rFonts w:cs="Arial"/>
              </w:rPr>
            </w:pPr>
          </w:p>
          <w:p w:rsidR="00476626" w:rsidRPr="00A77ABE" w:rsidRDefault="00476626" w:rsidP="00362285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Wykonawca zobowiązany jest załączyć do oferty dokument (np. kartę katalogową produktu), wystawiony przez producenta oferowanych ogniw elektrochemicznych, w którym potwierdzone będą oferowane wartości natężenia prądów (I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r w:rsidRPr="00A77ABE">
              <w:rPr>
                <w:rFonts w:cs="Arial"/>
                <w:b/>
              </w:rPr>
              <w:t>) i (I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r w:rsidRPr="00A77ABE">
              <w:rPr>
                <w:rFonts w:cs="Arial"/>
                <w:b/>
              </w:rPr>
              <w:t>) oraz rodzaj ogniw elektrochemicznych.</w:t>
            </w:r>
          </w:p>
        </w:tc>
      </w:tr>
    </w:tbl>
    <w:p w:rsidR="00305F30" w:rsidRPr="00A77ABE" w:rsidRDefault="00305F30" w:rsidP="00305F30"/>
    <w:sectPr w:rsidR="00305F30" w:rsidRPr="00A77ABE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B0" w:rsidRDefault="00F236B0" w:rsidP="003A49E7">
      <w:pPr>
        <w:spacing w:after="0" w:line="240" w:lineRule="auto"/>
      </w:pPr>
      <w:r>
        <w:separator/>
      </w:r>
    </w:p>
  </w:endnote>
  <w:endnote w:type="continuationSeparator" w:id="0">
    <w:p w:rsidR="00F236B0" w:rsidRDefault="00F236B0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B0" w:rsidRDefault="00F236B0" w:rsidP="003A49E7">
      <w:pPr>
        <w:spacing w:after="0" w:line="240" w:lineRule="auto"/>
      </w:pPr>
      <w:r>
        <w:separator/>
      </w:r>
    </w:p>
  </w:footnote>
  <w:footnote w:type="continuationSeparator" w:id="0">
    <w:p w:rsidR="00F236B0" w:rsidRDefault="00F236B0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Default="008B2CD5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DZ.381.UE-3/20</w:t>
    </w:r>
  </w:p>
  <w:p w:rsidR="003A49E7" w:rsidRPr="003A49E7" w:rsidRDefault="00704F5D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3A49E7" w:rsidRPr="003A49E7">
      <w:rPr>
        <w:sz w:val="20"/>
        <w:szCs w:val="20"/>
      </w:rPr>
      <w:t xml:space="preserve"> do s.i.w.z.- 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rFonts w:cs="Arial"/>
        <w:sz w:val="20"/>
        <w:szCs w:val="20"/>
      </w:rPr>
      <w:t>Podstawowe informacje o of</w:t>
    </w:r>
    <w:r w:rsidR="00615CF3">
      <w:rPr>
        <w:rFonts w:cs="Arial"/>
        <w:sz w:val="20"/>
        <w:szCs w:val="20"/>
      </w:rPr>
      <w:t>erowanym przedmiocie zamówienia</w:t>
    </w:r>
    <w:r w:rsidR="001C499A">
      <w:rPr>
        <w:rFonts w:cs="Arial"/>
        <w:sz w:val="20"/>
        <w:szCs w:val="20"/>
      </w:rPr>
      <w:t>- dotyczy autobusów EV</w:t>
    </w:r>
    <w:r w:rsidRPr="003A49E7">
      <w:rPr>
        <w:rFonts w:cs="Arial"/>
        <w:sz w:val="20"/>
        <w:szCs w:val="20"/>
      </w:rPr>
      <w:t xml:space="preserve"> </w:t>
    </w:r>
  </w:p>
  <w:p w:rsidR="003A49E7" w:rsidRPr="00E934DD" w:rsidRDefault="003A49E7" w:rsidP="00E934DD">
    <w:pPr>
      <w:pStyle w:val="Nagwek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282"/>
    <w:multiLevelType w:val="hybridMultilevel"/>
    <w:tmpl w:val="93E8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70C46"/>
    <w:multiLevelType w:val="multilevel"/>
    <w:tmpl w:val="20141AF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D320F"/>
    <w:multiLevelType w:val="hybridMultilevel"/>
    <w:tmpl w:val="5C5210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5DCD5966"/>
    <w:multiLevelType w:val="hybridMultilevel"/>
    <w:tmpl w:val="BABC7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E25C48"/>
    <w:multiLevelType w:val="hybridMultilevel"/>
    <w:tmpl w:val="FD321252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7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8"/>
  </w:num>
  <w:num w:numId="10">
    <w:abstractNumId w:val="2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4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14BD6"/>
    <w:rsid w:val="00025056"/>
    <w:rsid w:val="00025ADE"/>
    <w:rsid w:val="0003673F"/>
    <w:rsid w:val="00043E1A"/>
    <w:rsid w:val="00051962"/>
    <w:rsid w:val="0006708B"/>
    <w:rsid w:val="00087701"/>
    <w:rsid w:val="00093C9B"/>
    <w:rsid w:val="000B6173"/>
    <w:rsid w:val="000D53FF"/>
    <w:rsid w:val="000F350B"/>
    <w:rsid w:val="001060CB"/>
    <w:rsid w:val="0014638E"/>
    <w:rsid w:val="00146DD5"/>
    <w:rsid w:val="001616A1"/>
    <w:rsid w:val="00167A54"/>
    <w:rsid w:val="00174F4B"/>
    <w:rsid w:val="00175B51"/>
    <w:rsid w:val="0019599B"/>
    <w:rsid w:val="001B635C"/>
    <w:rsid w:val="001C499A"/>
    <w:rsid w:val="001F7827"/>
    <w:rsid w:val="002045EF"/>
    <w:rsid w:val="0024676D"/>
    <w:rsid w:val="00261161"/>
    <w:rsid w:val="00274059"/>
    <w:rsid w:val="00297A9B"/>
    <w:rsid w:val="00302D82"/>
    <w:rsid w:val="00305F30"/>
    <w:rsid w:val="00321DE0"/>
    <w:rsid w:val="00325D15"/>
    <w:rsid w:val="00334054"/>
    <w:rsid w:val="003365F8"/>
    <w:rsid w:val="00362285"/>
    <w:rsid w:val="00371F2D"/>
    <w:rsid w:val="00380A0A"/>
    <w:rsid w:val="0038408D"/>
    <w:rsid w:val="00394A90"/>
    <w:rsid w:val="003979E4"/>
    <w:rsid w:val="003A49E7"/>
    <w:rsid w:val="003D1164"/>
    <w:rsid w:val="003D367A"/>
    <w:rsid w:val="003E2392"/>
    <w:rsid w:val="003E56D4"/>
    <w:rsid w:val="00460559"/>
    <w:rsid w:val="00474915"/>
    <w:rsid w:val="00476626"/>
    <w:rsid w:val="00492627"/>
    <w:rsid w:val="00497D22"/>
    <w:rsid w:val="004A7FC7"/>
    <w:rsid w:val="004C5E74"/>
    <w:rsid w:val="004F27D3"/>
    <w:rsid w:val="004F5D33"/>
    <w:rsid w:val="0050707C"/>
    <w:rsid w:val="005112D3"/>
    <w:rsid w:val="00567FE9"/>
    <w:rsid w:val="00574A04"/>
    <w:rsid w:val="00575179"/>
    <w:rsid w:val="00590031"/>
    <w:rsid w:val="0059416A"/>
    <w:rsid w:val="005B763D"/>
    <w:rsid w:val="005C1C0B"/>
    <w:rsid w:val="005D699D"/>
    <w:rsid w:val="0061203F"/>
    <w:rsid w:val="00615CF3"/>
    <w:rsid w:val="006269EF"/>
    <w:rsid w:val="00633003"/>
    <w:rsid w:val="00657F51"/>
    <w:rsid w:val="00665AA9"/>
    <w:rsid w:val="00675A04"/>
    <w:rsid w:val="0068701B"/>
    <w:rsid w:val="006B1939"/>
    <w:rsid w:val="006C4E4A"/>
    <w:rsid w:val="006D21B9"/>
    <w:rsid w:val="006E373C"/>
    <w:rsid w:val="006E56DC"/>
    <w:rsid w:val="00701984"/>
    <w:rsid w:val="00704F5D"/>
    <w:rsid w:val="00705063"/>
    <w:rsid w:val="00723F06"/>
    <w:rsid w:val="00741F88"/>
    <w:rsid w:val="00755759"/>
    <w:rsid w:val="007A1C0A"/>
    <w:rsid w:val="007A256C"/>
    <w:rsid w:val="007B5371"/>
    <w:rsid w:val="007C2E55"/>
    <w:rsid w:val="007C6B9F"/>
    <w:rsid w:val="007E4D08"/>
    <w:rsid w:val="007E56CD"/>
    <w:rsid w:val="00807426"/>
    <w:rsid w:val="00836CC8"/>
    <w:rsid w:val="00860920"/>
    <w:rsid w:val="00875C1B"/>
    <w:rsid w:val="00877E7C"/>
    <w:rsid w:val="00890CFA"/>
    <w:rsid w:val="0089613F"/>
    <w:rsid w:val="008A28D6"/>
    <w:rsid w:val="008B2CD5"/>
    <w:rsid w:val="00900417"/>
    <w:rsid w:val="009021C0"/>
    <w:rsid w:val="00911936"/>
    <w:rsid w:val="00923A59"/>
    <w:rsid w:val="009257D7"/>
    <w:rsid w:val="0097231A"/>
    <w:rsid w:val="00973C1A"/>
    <w:rsid w:val="00984D15"/>
    <w:rsid w:val="00986D17"/>
    <w:rsid w:val="00994ED0"/>
    <w:rsid w:val="009A20D1"/>
    <w:rsid w:val="009D10C5"/>
    <w:rsid w:val="009E53BF"/>
    <w:rsid w:val="009F17AE"/>
    <w:rsid w:val="009F2FA7"/>
    <w:rsid w:val="00A20EA0"/>
    <w:rsid w:val="00A335B0"/>
    <w:rsid w:val="00A44368"/>
    <w:rsid w:val="00A533ED"/>
    <w:rsid w:val="00A77ABE"/>
    <w:rsid w:val="00A94F7F"/>
    <w:rsid w:val="00AB6AF1"/>
    <w:rsid w:val="00AF67CF"/>
    <w:rsid w:val="00B60C0D"/>
    <w:rsid w:val="00BB77F5"/>
    <w:rsid w:val="00BC5CD6"/>
    <w:rsid w:val="00BD74DB"/>
    <w:rsid w:val="00C71830"/>
    <w:rsid w:val="00C71B53"/>
    <w:rsid w:val="00C966F9"/>
    <w:rsid w:val="00CA0581"/>
    <w:rsid w:val="00CC2A76"/>
    <w:rsid w:val="00CE6632"/>
    <w:rsid w:val="00D035AD"/>
    <w:rsid w:val="00D06009"/>
    <w:rsid w:val="00D10287"/>
    <w:rsid w:val="00D15E30"/>
    <w:rsid w:val="00D269D2"/>
    <w:rsid w:val="00D35E25"/>
    <w:rsid w:val="00D42B76"/>
    <w:rsid w:val="00D44AA1"/>
    <w:rsid w:val="00D73D0B"/>
    <w:rsid w:val="00D906F7"/>
    <w:rsid w:val="00D90DE0"/>
    <w:rsid w:val="00DA6192"/>
    <w:rsid w:val="00DB0810"/>
    <w:rsid w:val="00DC366E"/>
    <w:rsid w:val="00DE07C1"/>
    <w:rsid w:val="00DE4AF3"/>
    <w:rsid w:val="00DE7FE7"/>
    <w:rsid w:val="00E007E5"/>
    <w:rsid w:val="00E75AE8"/>
    <w:rsid w:val="00E80E7C"/>
    <w:rsid w:val="00E812CF"/>
    <w:rsid w:val="00E9306D"/>
    <w:rsid w:val="00E934DD"/>
    <w:rsid w:val="00EA2523"/>
    <w:rsid w:val="00EB0250"/>
    <w:rsid w:val="00EC35B9"/>
    <w:rsid w:val="00EE7078"/>
    <w:rsid w:val="00EF53FA"/>
    <w:rsid w:val="00F236B0"/>
    <w:rsid w:val="00F37C9B"/>
    <w:rsid w:val="00F448EC"/>
    <w:rsid w:val="00F85662"/>
    <w:rsid w:val="00F94B63"/>
    <w:rsid w:val="00F95EE3"/>
    <w:rsid w:val="00FA43C3"/>
    <w:rsid w:val="00FB0799"/>
    <w:rsid w:val="00FD0D2B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  <w:style w:type="character" w:customStyle="1" w:styleId="WW8Num5z0">
    <w:name w:val="WW8Num5z0"/>
    <w:rsid w:val="00A20EA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  <w:style w:type="character" w:customStyle="1" w:styleId="WW8Num5z0">
    <w:name w:val="WW8Num5z0"/>
    <w:rsid w:val="00A20EA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965A-7CFF-4050-8601-37ED9E3E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Artur Kloc</cp:lastModifiedBy>
  <cp:revision>2</cp:revision>
  <cp:lastPrinted>2019-07-31T10:07:00Z</cp:lastPrinted>
  <dcterms:created xsi:type="dcterms:W3CDTF">2020-12-23T13:47:00Z</dcterms:created>
  <dcterms:modified xsi:type="dcterms:W3CDTF">2020-12-23T13:47:00Z</dcterms:modified>
</cp:coreProperties>
</file>