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14FD39E4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6944402" w14:textId="6200204F" w:rsidR="00153A22" w:rsidRPr="00C1143A" w:rsidRDefault="005D3F9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43A">
              <w:rPr>
                <w:rFonts w:ascii="Times New Roman" w:hAnsi="Times New Roman"/>
                <w:sz w:val="20"/>
                <w:szCs w:val="20"/>
              </w:rPr>
              <w:t>Poradnia Psychologiczno-Ped</w:t>
            </w:r>
            <w:r w:rsidR="00C1143A" w:rsidRPr="00C1143A">
              <w:rPr>
                <w:rFonts w:ascii="Times New Roman" w:hAnsi="Times New Roman"/>
                <w:sz w:val="20"/>
                <w:szCs w:val="20"/>
              </w:rPr>
              <w:t xml:space="preserve">agogiczna nr 2 </w:t>
            </w:r>
            <w:r w:rsidR="00C1143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1143A" w:rsidRPr="00C1143A">
              <w:rPr>
                <w:rFonts w:ascii="Times New Roman" w:hAnsi="Times New Roman"/>
                <w:sz w:val="20"/>
                <w:szCs w:val="20"/>
              </w:rPr>
              <w:t>w Lublinie</w:t>
            </w:r>
            <w:r w:rsidR="00C1143A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C1143A" w:rsidRPr="00C1143A">
              <w:rPr>
                <w:rFonts w:ascii="Times New Roman" w:hAnsi="Times New Roman"/>
                <w:sz w:val="20"/>
                <w:szCs w:val="20"/>
              </w:rPr>
              <w:t>ul. Radości 8, 20-530 Lublin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39E47242" w:rsidR="00945AC5" w:rsidRPr="00847E8E" w:rsidRDefault="00C1143A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001263470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75"/>
        <w:gridCol w:w="363"/>
        <w:gridCol w:w="351"/>
        <w:gridCol w:w="351"/>
        <w:gridCol w:w="375"/>
        <w:gridCol w:w="419"/>
        <w:gridCol w:w="339"/>
        <w:gridCol w:w="339"/>
        <w:gridCol w:w="339"/>
        <w:gridCol w:w="326"/>
        <w:gridCol w:w="271"/>
        <w:gridCol w:w="351"/>
        <w:gridCol w:w="375"/>
        <w:gridCol w:w="363"/>
        <w:gridCol w:w="351"/>
        <w:gridCol w:w="290"/>
        <w:gridCol w:w="375"/>
        <w:gridCol w:w="271"/>
        <w:gridCol w:w="351"/>
        <w:gridCol w:w="375"/>
        <w:gridCol w:w="222"/>
        <w:gridCol w:w="244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49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0C00159D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B9FAF82" w14:textId="7A49CE05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81CFC99" w14:textId="7C719989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1B13426A" w14:textId="2D1C2990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4CE7A543" w14:textId="2C73387B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6DBBE37D" w14:textId="5B4A7EE1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5C131EAE" w14:textId="53F2606B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648CE52E" w14:textId="1469CB2E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0C410C1A" w14:textId="39A4632D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3679F49F" w14:textId="727D896A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7FAA53EC" w14:textId="550DA011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" w:type="pct"/>
          </w:tcPr>
          <w:p w14:paraId="44626E9C" w14:textId="06C2900F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0F3A237A" w14:textId="711D47CB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446FB9C4" w14:textId="0B58275E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0D3661C2" w14:textId="4FEAF4EC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7A5102E0" w14:textId="03C2EF49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10E83C72" w14:textId="6862660F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386398A3" w14:textId="21F2438A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5FE37A08" w14:textId="6615C2CC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34CD766C" w14:textId="6BDEF8C1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4944EE31" w14:textId="63F9EC7D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4526ED7" w:rsidR="00B71689" w:rsidRPr="00847E8E" w:rsidRDefault="00C1143A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Województwo              Lubelskie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0912F336" w:rsidR="00B71689" w:rsidRPr="00847E8E" w:rsidRDefault="005E2FF6" w:rsidP="00C1143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C1143A">
              <w:rPr>
                <w:rFonts w:ascii="Times New Roman" w:hAnsi="Times New Roman"/>
                <w:sz w:val="21"/>
                <w:szCs w:val="21"/>
              </w:rPr>
              <w:t xml:space="preserve">                     Lubelski 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77FC548E" w:rsidR="00B71689" w:rsidRPr="00847E8E" w:rsidRDefault="005E2FF6" w:rsidP="00C1143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C1143A">
              <w:rPr>
                <w:rFonts w:ascii="Times New Roman" w:hAnsi="Times New Roman"/>
                <w:sz w:val="21"/>
                <w:szCs w:val="21"/>
              </w:rPr>
              <w:t xml:space="preserve">                          Lublin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388CF33B" w:rsidR="00175C03" w:rsidRPr="00847E8E" w:rsidRDefault="00C1143A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6CA10EFD" w:rsidR="003B4E3E" w:rsidRPr="00847E8E" w:rsidRDefault="00C1143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2C72A89A" w:rsidR="003B4E3E" w:rsidRPr="00847E8E" w:rsidRDefault="00C1143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41DD8E4" w:rsidR="00160AF4" w:rsidRPr="00847E8E" w:rsidRDefault="00B675F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1F94767F" w:rsidR="00E1782F" w:rsidRPr="00847E8E" w:rsidRDefault="00B675F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616"/>
        <w:gridCol w:w="2622"/>
        <w:gridCol w:w="676"/>
        <w:gridCol w:w="2919"/>
        <w:gridCol w:w="626"/>
        <w:gridCol w:w="652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1F046C37" w:rsidR="004E1844" w:rsidRPr="00847E8E" w:rsidRDefault="00B675F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0A24106C" w14:textId="3E1E37E9" w:rsidR="00F34B52" w:rsidRPr="00847E8E" w:rsidRDefault="00B675F5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Poradnia mieści się w kompleksie budynków Przedszkola nr 77 w Lublinie przy ul. Radości 8. Mieści się w pierwszym z trzech segmentów, patrząc od supermarketu w głąb osiedla. Istnieje możliwość podjechania samochodem osobowym     i zaparkowania na miejscach postojowych przy ulicy Radości. Poradnia jest ogrodzona. Aby wejść do Poradni należy otworzyć furtkę ogrodzenia, a następnie zbliżyć się do budynku i skierować w prawą stronę. Do budynku można wejść korzystając ze schodów lub podjazdu dla wózków. Następnie trzeba pokonać drzwi otwierane ręcznie na zewnątrz, wejść do przedsionka a następnie skorzystać z domofonu oraz przejść przez kolejne drzwi. Budynek jest dwupoziomowy (parter i pierwsze piętro). Poradnia (sekretariat, gabinety) mieści się na parterze. W budynku nie ma windy, pochylni, podjazdów </w:t>
            </w:r>
            <w:r w:rsidR="00C934A6">
              <w:rPr>
                <w:rFonts w:ascii="Times New Roman" w:hAnsi="Times New Roman"/>
              </w:rPr>
              <w:t>ani platform. Brak jest również informacji głosowych, oznaczeń w alfabecie Braille’a, oznaczeń kontrastowych, czy w druku powiększonym dla osób niewidomych i słabowidzących. Dyrektor Poradni wyraża zgodę na wstęp z psem asystującym. Istnieje możliwość udzielania informacji ustnych i asysty przez personel poradni.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0BC1CBC4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5609C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24B2C5C4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5609C5" w:rsidRPr="005609C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37C22A16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5609C5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98D875A" w:rsidR="004B60BD" w:rsidRPr="00847E8E" w:rsidRDefault="00D44A02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30.03.2020 r.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79358A69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D44A0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2BE968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777BB84B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2AA4530C" w14:textId="77777777" w:rsidR="00D44A02" w:rsidRPr="00D44A02" w:rsidRDefault="00D44A02" w:rsidP="009B111E">
            <w:pPr>
              <w:spacing w:before="20" w:after="20" w:line="209" w:lineRule="auto"/>
              <w:rPr>
                <w:rFonts w:ascii="Times New Roman" w:hAnsi="Times New Roman"/>
              </w:rPr>
            </w:pPr>
            <w:r w:rsidRPr="00D44A02">
              <w:rPr>
                <w:rFonts w:ascii="Times New Roman" w:hAnsi="Times New Roman"/>
              </w:rPr>
              <w:t xml:space="preserve">Strona internetowa jest częściowo zgodna z ustawą z dnia 4 kwietnia 2019 r. o dostępności cyfrowej stron internetowych i aplikacji mobilnych podmiotów publicznych z powodu niezgodności lub wyłączeń wymienionych poniżej: </w:t>
            </w:r>
          </w:p>
          <w:p w14:paraId="500FB178" w14:textId="06751E10" w:rsidR="00460B99" w:rsidRDefault="00D44A02" w:rsidP="00D44A02">
            <w:pPr>
              <w:pStyle w:val="Akapitzlist"/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plików nie jest dostępna cyfrowo.</w:t>
            </w:r>
          </w:p>
          <w:p w14:paraId="560F08F4" w14:textId="390A6541" w:rsidR="00D44A02" w:rsidRDefault="00D44A02" w:rsidP="00D44A02">
            <w:pPr>
              <w:pStyle w:val="Akapitzlist"/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odpowiedniej struktury nagłówkowej artykułów.</w:t>
            </w:r>
          </w:p>
          <w:p w14:paraId="5EDB380B" w14:textId="58E59A8D" w:rsidR="00D44A02" w:rsidRDefault="00D44A02" w:rsidP="00D44A02">
            <w:pPr>
              <w:pStyle w:val="Akapitzlist"/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dokumentów nie posiada:</w:t>
            </w:r>
          </w:p>
          <w:p w14:paraId="7B66E63D" w14:textId="5DB0D9A3" w:rsidR="00D44A02" w:rsidRDefault="00D44A02" w:rsidP="00D44A02">
            <w:pPr>
              <w:pStyle w:val="Akapitzlist"/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warstwy tekstowej w skanowanych dokumentach, ponieważ zostały opublikowane przed wejściem w życie obowiązującej ustawy o dostępności cyfrowej,</w:t>
            </w:r>
          </w:p>
          <w:p w14:paraId="649A2618" w14:textId="2F11C03B" w:rsidR="00D44A02" w:rsidRDefault="00D44A02" w:rsidP="00D44A02">
            <w:pPr>
              <w:pStyle w:val="Akapitzlist"/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opisów alternatywnych, ponieważ zostały opublikowane przed wejściem w życie obowiązującej ustawy            o dostępności cyfrowej,</w:t>
            </w:r>
          </w:p>
          <w:p w14:paraId="696A7C0F" w14:textId="6B5A8A1A" w:rsidR="00D44A02" w:rsidRDefault="00D44A02" w:rsidP="00D44A02">
            <w:pPr>
              <w:pStyle w:val="Akapitzlist"/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audiodeskrypcji, ponieważ zostały opublikowane przed wejściem w życie obowiązującej ustawy                       o dostępności cyfrowej,</w:t>
            </w:r>
          </w:p>
          <w:p w14:paraId="570860F0" w14:textId="02C84336" w:rsidR="00D44A02" w:rsidRDefault="00D44A02" w:rsidP="00D44A02">
            <w:pPr>
              <w:pStyle w:val="Akapitzlist"/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prawidłowo wyedytowanej warstwy tekstowej zgodnej z zasadami formatowania tekstu </w:t>
            </w:r>
            <w:r w:rsidR="001635F4">
              <w:rPr>
                <w:rFonts w:ascii="Times New Roman" w:hAnsi="Times New Roman"/>
              </w:rPr>
              <w:t>z zakresu „dobrych praktyk redaktorskich” (wielkie litery, kolorowe czcionki, zbyt mały kontrast).</w:t>
            </w:r>
          </w:p>
          <w:p w14:paraId="6B4C725C" w14:textId="5DC2EC15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0D5705B1" w:rsidR="00DE4A0F" w:rsidRPr="00847E8E" w:rsidRDefault="001635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3BF2FC57" w:rsidR="009A09A3" w:rsidRPr="00847E8E" w:rsidRDefault="001635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4295B669" w:rsidR="009A09A3" w:rsidRPr="00847E8E" w:rsidRDefault="001635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48D3BC4B" w:rsidR="009A09A3" w:rsidRPr="00847E8E" w:rsidRDefault="001635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2F06C39A" w:rsidR="009A09A3" w:rsidRPr="00847E8E" w:rsidRDefault="009C4A0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339AE578" w:rsidR="009A09A3" w:rsidRPr="00847E8E" w:rsidRDefault="009C4A0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41813A4F" w:rsidR="009A09A3" w:rsidRPr="00847E8E" w:rsidRDefault="009C4A0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4822ED3C" w:rsidR="0097326B" w:rsidRPr="00847E8E" w:rsidRDefault="001635F4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52F02500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163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3A8B9833" w:rsidR="003B20D3" w:rsidRPr="00847E8E" w:rsidRDefault="009904E2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7B9CC44F" w:rsidR="00E856AA" w:rsidRPr="00847E8E" w:rsidRDefault="00932736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29E42037" w:rsidR="00E856AA" w:rsidRPr="00847E8E" w:rsidRDefault="00932736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43222348" w:rsidR="001B6639" w:rsidRPr="00847E8E" w:rsidRDefault="00932736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946F556" w:rsidR="00695809" w:rsidRPr="00847E8E" w:rsidRDefault="00932736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6EF3A75C" w:rsidR="00F814A2" w:rsidRPr="00847E8E" w:rsidRDefault="0096483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02F6566A" w:rsidR="007661D4" w:rsidRPr="00847E8E" w:rsidRDefault="0096483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0EA59032" w:rsidR="007661D4" w:rsidRPr="00847E8E" w:rsidRDefault="0096483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71719D75" w14:textId="1792AFD0" w:rsidR="00C15BFA" w:rsidRPr="005A7621" w:rsidRDefault="0096483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21">
              <w:rPr>
                <w:rFonts w:ascii="Times New Roman" w:hAnsi="Times New Roman"/>
                <w:sz w:val="24"/>
                <w:szCs w:val="24"/>
              </w:rPr>
              <w:t>Została zapewniona pomoc pracownika poradni poprzez odczytywanie tekstu, pomoc w wypełnianiu dokumentu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EBB2704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0BE36C37" w14:textId="77777777" w:rsidR="00C15BFA" w:rsidRPr="005A7621" w:rsidRDefault="00964834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21">
              <w:rPr>
                <w:rFonts w:ascii="Times New Roman" w:hAnsi="Times New Roman"/>
                <w:sz w:val="24"/>
                <w:szCs w:val="24"/>
              </w:rPr>
              <w:t xml:space="preserve">- obniżony poziom intelektualny </w:t>
            </w:r>
          </w:p>
          <w:p w14:paraId="1F8AE1A7" w14:textId="51D9FB63" w:rsidR="00964834" w:rsidRPr="00847E8E" w:rsidRDefault="00964834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5A7621">
              <w:rPr>
                <w:rFonts w:ascii="Times New Roman" w:hAnsi="Times New Roman"/>
                <w:sz w:val="24"/>
                <w:szCs w:val="24"/>
              </w:rPr>
              <w:t>- niepełnosprawność wzrokowo-ruchowa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22"/>
        <w:gridCol w:w="222"/>
        <w:gridCol w:w="412"/>
        <w:gridCol w:w="339"/>
        <w:gridCol w:w="424"/>
        <w:gridCol w:w="290"/>
        <w:gridCol w:w="351"/>
        <w:gridCol w:w="363"/>
        <w:gridCol w:w="375"/>
        <w:gridCol w:w="419"/>
        <w:gridCol w:w="339"/>
        <w:gridCol w:w="339"/>
        <w:gridCol w:w="339"/>
        <w:gridCol w:w="326"/>
        <w:gridCol w:w="271"/>
        <w:gridCol w:w="351"/>
        <w:gridCol w:w="375"/>
        <w:gridCol w:w="363"/>
        <w:gridCol w:w="351"/>
        <w:gridCol w:w="290"/>
        <w:gridCol w:w="375"/>
        <w:gridCol w:w="271"/>
        <w:gridCol w:w="351"/>
        <w:gridCol w:w="375"/>
        <w:gridCol w:w="222"/>
        <w:gridCol w:w="222"/>
        <w:gridCol w:w="222"/>
        <w:gridCol w:w="225"/>
        <w:gridCol w:w="253"/>
        <w:gridCol w:w="253"/>
        <w:gridCol w:w="253"/>
        <w:gridCol w:w="254"/>
        <w:gridCol w:w="254"/>
        <w:gridCol w:w="244"/>
        <w:gridCol w:w="244"/>
      </w:tblGrid>
      <w:tr w:rsidR="00964834" w:rsidRPr="00847E8E" w14:paraId="18AA6317" w14:textId="77777777" w:rsidTr="00FF3ED3">
        <w:tc>
          <w:tcPr>
            <w:tcW w:w="110" w:type="pct"/>
          </w:tcPr>
          <w:p w14:paraId="174BF54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D3ACAE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3879E71" w14:textId="328DEB9E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34D645AB" w14:textId="0994E066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1B3B8B43" w14:textId="2F714DEC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565A5085" w14:textId="28C7184C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61CFED95" w14:textId="78FBF2F9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0DA6338" w14:textId="74A532B7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51D1902" w14:textId="09367D2D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" w:type="pct"/>
          </w:tcPr>
          <w:p w14:paraId="58554E5F" w14:textId="0A6CCA1E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5BAC8659" w14:textId="0A929F2B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4AAFD7F" w14:textId="35F0E5ED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ECB9999" w14:textId="75B17C80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53D05FB8" w14:textId="35023EAD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" w:type="pct"/>
          </w:tcPr>
          <w:p w14:paraId="7BF4E736" w14:textId="322B3636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D570CDB" w14:textId="3ECB7468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0F9532B6" w14:textId="1E3D9BDD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69C71B0D" w14:textId="3C913E35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16659EA3" w14:textId="2B0C57B0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53838FAE" w14:textId="138CCC03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792BF673" w14:textId="1B7B5719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269A9DBA" w14:textId="65C922E9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14A1BD78" w14:textId="704D33C3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BEE505B" w14:textId="5CC7A7FD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037CD762" w:rsidR="00FF3ED3" w:rsidRPr="00847E8E" w:rsidRDefault="00964834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882 436 851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1371163" w:rsidR="00FF3ED3" w:rsidRPr="00847E8E" w:rsidRDefault="005A7621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Lublin, 23.02</w:t>
            </w:r>
            <w:bookmarkStart w:id="5" w:name="_GoBack"/>
            <w:bookmarkEnd w:id="5"/>
            <w:r w:rsidR="00964834">
              <w:rPr>
                <w:rFonts w:ascii="Times New Roman" w:hAnsi="Times New Roman"/>
                <w:sz w:val="20"/>
                <w:szCs w:val="20"/>
                <w:highlight w:val="yellow"/>
              </w:rPr>
              <w:t>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EA424" w14:textId="77777777" w:rsidR="00C17BC6" w:rsidRDefault="00C17BC6" w:rsidP="005840AE">
      <w:pPr>
        <w:spacing w:after="0" w:line="240" w:lineRule="auto"/>
      </w:pPr>
      <w:r>
        <w:separator/>
      </w:r>
    </w:p>
  </w:endnote>
  <w:endnote w:type="continuationSeparator" w:id="0">
    <w:p w14:paraId="71FE5201" w14:textId="77777777" w:rsidR="00C17BC6" w:rsidRDefault="00C17BC6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7DBBC" w14:textId="77777777" w:rsidR="00C17BC6" w:rsidRDefault="00C17BC6" w:rsidP="005840AE">
      <w:pPr>
        <w:spacing w:after="0" w:line="240" w:lineRule="auto"/>
      </w:pPr>
      <w:r>
        <w:separator/>
      </w:r>
    </w:p>
  </w:footnote>
  <w:footnote w:type="continuationSeparator" w:id="0">
    <w:p w14:paraId="2782C16D" w14:textId="77777777" w:rsidR="00C17BC6" w:rsidRDefault="00C17BC6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5609C5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5609C5" w:rsidRPr="00A32D2F" w:rsidRDefault="005609C5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5609C5" w:rsidRPr="00D141F2" w:rsidRDefault="005609C5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C17BC6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5609C5" w:rsidRPr="008F642B" w:rsidRDefault="005609C5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171F0"/>
    <w:multiLevelType w:val="hybridMultilevel"/>
    <w:tmpl w:val="31A0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0EC1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5F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9C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621"/>
    <w:rsid w:val="005A7BF3"/>
    <w:rsid w:val="005B3862"/>
    <w:rsid w:val="005B6210"/>
    <w:rsid w:val="005B6CE4"/>
    <w:rsid w:val="005C307A"/>
    <w:rsid w:val="005D29D0"/>
    <w:rsid w:val="005D3F9F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57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3273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4834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04E2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4A04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675F5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72C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43A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17BC6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4A6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4A02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304F1C53-C0EF-4332-98D9-AE6AC90F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4628D18-0699-477E-A5BF-5D76C994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4220</Words>
  <Characters>25326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bgolonka</cp:lastModifiedBy>
  <cp:revision>21</cp:revision>
  <cp:lastPrinted>2018-01-10T11:08:00Z</cp:lastPrinted>
  <dcterms:created xsi:type="dcterms:W3CDTF">2021-01-05T10:55:00Z</dcterms:created>
  <dcterms:modified xsi:type="dcterms:W3CDTF">2021-03-11T11:10:00Z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