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00"/>
        <w:gridCol w:w="2520"/>
        <w:gridCol w:w="3000"/>
      </w:tblGrid>
      <w:tr w:rsidR="005E4D39" w:rsidRPr="005E4D39" w:rsidTr="005E4D39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 kontrolujący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kontrolującego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</w:t>
            </w:r>
            <w:r w:rsidRPr="005E4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5E4D3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lowane działy pracy</w:t>
            </w:r>
          </w:p>
        </w:tc>
      </w:tr>
      <w:tr w:rsidR="005E4D39" w:rsidRPr="005E4D39" w:rsidTr="005E4D39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Prezydent Miasta Lublin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Mirosław </w:t>
            </w:r>
            <w:proofErr w:type="spellStart"/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Dyk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Sprawdzenie realizacji procedur w zakresie celowości zaciągania zobowiązań i dokonywania wydatków w okresie od 01.01.2009 do 31.08.2010</w:t>
            </w:r>
          </w:p>
        </w:tc>
      </w:tr>
      <w:tr w:rsidR="005E4D39" w:rsidRPr="005E4D39" w:rsidTr="005E4D3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Urząd Skarbowy w Lublinie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Burdzanowska Małgorzata, Hołyńska Izabella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Prawidłowość</w:t>
            </w: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rozliczania z budżetem państwa z tytułu podatku od towarów i usług</w:t>
            </w:r>
          </w:p>
        </w:tc>
      </w:tr>
      <w:tr w:rsidR="005E4D39" w:rsidRPr="005E4D39" w:rsidTr="005E4D39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Urząd Skarbowy w Lublinie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Burdzanowska Małgorzata, Hołyńska Izabella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Zasadność zwrotu różnicy oraz prawidłowość rozliczania z budżetem państwa z tytułu podatku od towarów i usług - przed dokonaniem zwrotu</w:t>
            </w:r>
          </w:p>
        </w:tc>
      </w:tr>
      <w:tr w:rsidR="005E4D39" w:rsidRPr="005E4D39" w:rsidTr="005E4D39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Zakład Ubezpieczeń Społecznych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Bożenna Kocoń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Prawidłowość i rzetelność</w:t>
            </w: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obliczania składek ZUS, ustalanie uprawnień do świadczeń z ubezpieczenia społecznego itp.</w:t>
            </w:r>
          </w:p>
        </w:tc>
      </w:tr>
      <w:tr w:rsidR="005E4D39" w:rsidRPr="005E4D39" w:rsidTr="005E4D39">
        <w:trPr>
          <w:trHeight w:val="15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Państwowa Inspekcja Pracy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39" w:rsidRPr="005E4D39" w:rsidRDefault="005E4D39" w:rsidP="005E4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Anna Drewniak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39" w:rsidRPr="005E4D39" w:rsidRDefault="005E4D39" w:rsidP="005E4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Kontrola w ram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bookmarkStart w:id="0" w:name="_GoBack"/>
            <w:bookmarkEnd w:id="0"/>
            <w:r w:rsidRPr="005E4D39">
              <w:rPr>
                <w:rFonts w:ascii="Calibri" w:eastAsia="Times New Roman" w:hAnsi="Calibri" w:cs="Times New Roman"/>
                <w:color w:val="000000"/>
                <w:lang w:eastAsia="pl-PL"/>
              </w:rPr>
              <w:t>ch przepisów prawa pracy, nawiązywanie i rozwiązywanie stosunku pracy, naliczanie, wypłacanie wynagrodzeń oraz inne.</w:t>
            </w:r>
          </w:p>
        </w:tc>
      </w:tr>
    </w:tbl>
    <w:p w:rsidR="00132FBA" w:rsidRDefault="00132FBA"/>
    <w:sectPr w:rsidR="0013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9"/>
    <w:rsid w:val="00132FBA"/>
    <w:rsid w:val="005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Rozdroza</dc:creator>
  <cp:lastModifiedBy>Rozdroza</cp:lastModifiedBy>
  <cp:revision>1</cp:revision>
  <dcterms:created xsi:type="dcterms:W3CDTF">2021-06-09T06:58:00Z</dcterms:created>
  <dcterms:modified xsi:type="dcterms:W3CDTF">2021-06-09T06:59:00Z</dcterms:modified>
</cp:coreProperties>
</file>