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272360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2A455B">
        <w:rPr>
          <w:rFonts w:ascii="Arial" w:hAnsi="Arial" w:cs="Arial"/>
          <w:b/>
        </w:rPr>
        <w:t>środków toaletowych</w:t>
      </w:r>
      <w:bookmarkStart w:id="1" w:name="_GoBack"/>
      <w:bookmarkEnd w:id="1"/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 xml:space="preserve">Domu Pomocy Społecznej „Kalina” </w:t>
      </w:r>
    </w:p>
    <w:p w:rsidR="00C66963" w:rsidRPr="00C66963" w:rsidRDefault="00C52052" w:rsidP="00C52052">
      <w:pPr>
        <w:jc w:val="center"/>
        <w:rPr>
          <w:rFonts w:ascii="Arial" w:hAnsi="Arial" w:cs="Arial"/>
          <w:b/>
        </w:rPr>
      </w:pPr>
      <w:r w:rsidRPr="00C52052">
        <w:rPr>
          <w:rFonts w:ascii="Arial" w:hAnsi="Arial" w:cs="Arial"/>
          <w:b/>
        </w:rPr>
        <w:t>w Lublinie</w:t>
      </w:r>
      <w:r w:rsidR="00C66963"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A455B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5A2E-4B3F-4D3D-A1D6-806F9EF5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2020-11-02T09:41:00Z</cp:lastPrinted>
  <dcterms:created xsi:type="dcterms:W3CDTF">2022-01-17T15:35:00Z</dcterms:created>
  <dcterms:modified xsi:type="dcterms:W3CDTF">2022-01-17T15:35:00Z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