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306A59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b/>
          <w:color w:val="00000A"/>
        </w:rPr>
      </w:pPr>
    </w:p>
    <w:p w:rsidR="00C66963" w:rsidRPr="00306A59" w:rsidRDefault="00C66963" w:rsidP="00C52052">
      <w:pPr>
        <w:jc w:val="center"/>
        <w:rPr>
          <w:rFonts w:ascii="Arial" w:hAnsi="Arial" w:cs="Arial"/>
          <w:b/>
          <w:sz w:val="24"/>
          <w:szCs w:val="24"/>
        </w:rPr>
      </w:pPr>
      <w:r w:rsidRPr="00306A59">
        <w:rPr>
          <w:rFonts w:ascii="Arial" w:hAnsi="Arial" w:cs="Arial"/>
          <w:b/>
          <w:sz w:val="24"/>
          <w:szCs w:val="24"/>
        </w:rPr>
        <w:t>„</w:t>
      </w:r>
      <w:r w:rsidR="00306A59" w:rsidRPr="00306A59">
        <w:rPr>
          <w:rFonts w:ascii="Arial" w:hAnsi="Arial" w:cs="Arial"/>
          <w:b/>
          <w:sz w:val="24"/>
          <w:szCs w:val="24"/>
        </w:rPr>
        <w:t>Dostawę</w:t>
      </w:r>
      <w:r w:rsidR="00306A59" w:rsidRPr="00AD7F3C">
        <w:rPr>
          <w:rFonts w:ascii="Arial" w:hAnsi="Arial" w:cs="Arial"/>
          <w:b/>
          <w:sz w:val="24"/>
          <w:szCs w:val="24"/>
          <w:lang w:eastAsia="pl-PL"/>
        </w:rPr>
        <w:t xml:space="preserve"> leków refundowanych przez NFZ wydawanych na podstawie recept wystawianych przez lekarza oraz produktów farmaceutycznych i urządzeń medycznych</w:t>
      </w:r>
      <w:r w:rsidR="00306A59" w:rsidRPr="00AD7F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476C" w:rsidRPr="00306A59">
        <w:rPr>
          <w:rFonts w:ascii="Arial" w:hAnsi="Arial" w:cs="Arial"/>
          <w:b/>
          <w:sz w:val="24"/>
          <w:szCs w:val="24"/>
        </w:rPr>
        <w:t xml:space="preserve">dla </w:t>
      </w:r>
      <w:r w:rsidR="00C52052" w:rsidRPr="00306A59">
        <w:rPr>
          <w:rFonts w:ascii="Arial" w:hAnsi="Arial" w:cs="Arial"/>
          <w:b/>
          <w:sz w:val="24"/>
          <w:szCs w:val="24"/>
        </w:rPr>
        <w:t>Domu Pomocy Społecznej „Kalina” w Lublinie</w:t>
      </w:r>
      <w:r w:rsidRPr="00306A59">
        <w:rPr>
          <w:rFonts w:ascii="Arial" w:hAnsi="Arial" w:cs="Arial"/>
          <w:b/>
          <w:sz w:val="24"/>
          <w:szCs w:val="24"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306A59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A457-A038-472B-A6DB-4638B8D9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2020-11-02T09:41:00Z</cp:lastPrinted>
  <dcterms:created xsi:type="dcterms:W3CDTF">2022-01-16T19:54:00Z</dcterms:created>
  <dcterms:modified xsi:type="dcterms:W3CDTF">2022-01-16T19:54:00Z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