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0F297E1D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>ę</w:t>
      </w:r>
      <w:r w:rsidR="00B17CA4">
        <w:t xml:space="preserve"> środków czystości </w:t>
      </w:r>
      <w:r w:rsidR="00EF44B0">
        <w:t xml:space="preserve">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547D13B6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0966D4">
        <w:t xml:space="preserve">środków czystości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</w:t>
      </w:r>
      <w:r w:rsidR="000966D4">
        <w:t xml:space="preserve">                         </w:t>
      </w:r>
      <w:r>
        <w:t xml:space="preserve">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59E719A3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0966D4">
        <w:t xml:space="preserve">środki czystości </w:t>
      </w:r>
      <w:r>
        <w:t>będzie następować w przeddzień dostawy. Zamawiający może w każdej chwili zmienić wielkość zamówienia.</w:t>
      </w:r>
    </w:p>
    <w:p w14:paraId="25891660" w14:textId="1664FF02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</w:t>
      </w:r>
      <w:r w:rsidR="000966D4">
        <w:t xml:space="preserve">             </w:t>
      </w:r>
      <w:r>
        <w:t xml:space="preserve">Odbiór ilościowy i jakościowy będzie odbywał się codziennie od godz. 7.00 do </w:t>
      </w:r>
      <w:r w:rsidR="000D2336">
        <w:t xml:space="preserve">                          </w:t>
      </w:r>
      <w:r>
        <w:t xml:space="preserve">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0D2BA597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bookmarkStart w:id="0" w:name="_GoBack"/>
      <w:bookmarkEnd w:id="0"/>
      <w:r w:rsidR="00384B1C" w:rsidRPr="00384B1C">
        <w:t xml:space="preserve"> </w:t>
      </w:r>
      <w:r w:rsidR="00384B1C" w:rsidRPr="008F7A0C">
        <w:t>paragraf 4210 – zakup materiałów i wyposażenia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0C9D" w14:textId="77777777" w:rsidR="00CA2FC7" w:rsidRDefault="00CA2FC7">
      <w:r>
        <w:separator/>
      </w:r>
    </w:p>
  </w:endnote>
  <w:endnote w:type="continuationSeparator" w:id="0">
    <w:p w14:paraId="44B37E4F" w14:textId="77777777" w:rsidR="00CA2FC7" w:rsidRDefault="00C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1C">
          <w:rPr>
            <w:noProof/>
          </w:rPr>
          <w:t>2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C574" w14:textId="77777777" w:rsidR="00CA2FC7" w:rsidRDefault="00CA2FC7">
      <w:r>
        <w:separator/>
      </w:r>
    </w:p>
  </w:footnote>
  <w:footnote w:type="continuationSeparator" w:id="0">
    <w:p w14:paraId="41A30E6C" w14:textId="77777777" w:rsidR="00CA2FC7" w:rsidRDefault="00CA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1A8"/>
    <w:rsid w:val="00052D9B"/>
    <w:rsid w:val="00056DD8"/>
    <w:rsid w:val="000966D4"/>
    <w:rsid w:val="000A5E59"/>
    <w:rsid w:val="000B65CB"/>
    <w:rsid w:val="000D2336"/>
    <w:rsid w:val="000E3AE3"/>
    <w:rsid w:val="001069CA"/>
    <w:rsid w:val="001A0CD8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84B1C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17CA4"/>
    <w:rsid w:val="00B268D8"/>
    <w:rsid w:val="00B71B04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A2FC7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20</cp:revision>
  <cp:lastPrinted>2017-11-28T08:12:00Z</cp:lastPrinted>
  <dcterms:created xsi:type="dcterms:W3CDTF">2020-12-04T09:59:00Z</dcterms:created>
  <dcterms:modified xsi:type="dcterms:W3CDTF">2020-12-16T07:52:00Z</dcterms:modified>
  <dc:language>pl-PL</dc:language>
</cp:coreProperties>
</file>