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50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"/>
        <w:gridCol w:w="4199"/>
        <w:gridCol w:w="1410"/>
        <w:gridCol w:w="1365"/>
        <w:gridCol w:w="1817"/>
        <w:gridCol w:w="1874"/>
        <w:gridCol w:w="1837"/>
        <w:gridCol w:w="1536"/>
      </w:tblGrid>
      <w:tr>
        <w:trPr/>
        <w:tc>
          <w:tcPr>
            <w:tcW w:w="145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eastAsia="SimSun" w:cs="Lucida San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8"/>
                <w:szCs w:val="28"/>
                <w:u w:val="none"/>
                <w:em w:val="none"/>
                <w:lang w:val="pl-PL" w:eastAsia="zh-CN" w:bidi="hi-IN"/>
              </w:rPr>
              <w:t>Centrum Rozwoju i Integracji Społecznej Osób z Niepełnosprawnością Intelektualną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 xml:space="preserve"> ul. Głowackiego 26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A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 xml:space="preserve"> </w:t>
              <w:br/>
              <w:t>w Lublinie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LP.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NAZWA ASORTYMENTU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JEDN. MIARY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ILOŚĆ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STAWKA VAT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CENA JEDN.  NETTO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CENA JEDN. BRUTTO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WARTOŚĆ BRUTTO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lang w:eastAsia="pl-PL"/>
              </w:rPr>
            </w:pPr>
            <w:bookmarkStart w:id="0" w:name="__DdeLink__445_1573362275"/>
            <w:bookmarkEnd w:id="0"/>
            <w:r>
              <w:rPr>
                <w:rFonts w:eastAsia="Times New Roman" w:cs="" w:ascii="Arial" w:hAnsi="Arial" w:cstheme="majorHAnsi"/>
                <w:b/>
                <w:bCs/>
                <w:color w:val="000000"/>
                <w:lang w:eastAsia="pl-PL"/>
              </w:rPr>
              <w:t>Testy antygenowe na badanie zakażenia wirusem Sars-Cov-2</w:t>
            </w:r>
          </w:p>
          <w:p>
            <w:pPr>
              <w:pStyle w:val="ListParagraph"/>
              <w:widowControl w:val="false"/>
              <w:spacing w:lineRule="auto" w:line="240"/>
              <w:ind w:left="720" w:hanging="0"/>
              <w:rPr>
                <w:rFonts w:ascii="Arial" w:hAnsi="Arial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lang w:eastAsia="pl-P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" w:ascii="Arial" w:hAnsi="Arial" w:cs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szybki,  kasetkowy , chromatograficzny,  przeznaczonym do wykrywania obecności antygenów wirusa SARS-CoV-2 w wymazie z nosogardzieli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Posiadający certyfikaty zgłoszenia do Urzędu Rejestracji Wyrobów Medycznych oraz Deklaracja zgodności CE IVD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eastAsia="pl-PL"/>
              </w:rPr>
              <w:t>czułość  ≥ 92% i specyficzność ≥ 98%,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495057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Wszystkie materiały potrzebne do wykonania badania muszą być zawarte w zestawie</w:t>
            </w: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(wymagania minimum):</w:t>
            </w:r>
          </w:p>
          <w:p>
            <w:pPr>
              <w:pStyle w:val="ListParagraph"/>
              <w:widowControl w:val="false"/>
              <w:spacing w:lineRule="auto" w:line="240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/>
              <w:ind w:left="144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ascii="Arial" w:hAnsi="Arial"/>
                <w:color w:val="495057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płytki testowe w indywidualnym foliowym opakowaniu zawierającym środek pochłaniający wilgoć,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probówki ekstrakcyjne z zakrętką i buforem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sterylne wymazówki do pobierania wymazu z nosogardzieli,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instrukcję stosowania (metodyka wykonywania testu w języku polskim),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Cs/>
                <w:color w:val="000000"/>
                <w:sz w:val="24"/>
                <w:szCs w:val="24"/>
                <w:lang w:eastAsia="pl-PL"/>
              </w:rPr>
              <w:t>termin przydatności do użycia minimum 12 miesięcy.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301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RAZEM: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78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408"/>
        <w:tab w:val="center" w:pos="7285" w:leader="none"/>
        <w:tab w:val="right" w:pos="14570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Normal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732</TotalTime>
  <Application>LibreOffice/7.1.0.3$Windows_X86_64 LibreOffice_project/f6099ecf3d29644b5008cc8f48f42f4a40986e4c</Application>
  <AppVersion>15.0000</AppVersion>
  <Pages>2</Pages>
  <Words>136</Words>
  <Characters>861</Characters>
  <CharactersWithSpaces>970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2020-09-04T12:19:06Z</dcterms:created>
  <dc:creator/>
  <dc:description/>
  <dc:language>pl-PL</dc:language>
  <cp:lastModifiedBy/>
  <cp:lastPrinted>2021-04-30T10:09:17Z</cp:lastPrinted>
  <dcterms:modified xsi:type="dcterms:W3CDTF">2022-01-13T13:20:08Z</dcterms:modified>
  <cp:revision>19</cp:revision>
  <dc:subject/>
  <dc:title/>
</cp:coreProperties>
</file>